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D.</w:t>
      </w:r>
      <w:r w:rsidR="0091335F">
        <w:rPr>
          <w:rFonts w:ascii="Courier New" w:hAnsi="Courier New" w:cs="Courier New"/>
          <w:sz w:val="24"/>
          <w:szCs w:val="24"/>
        </w:rPr>
        <w:t>42</w:t>
      </w:r>
      <w:r w:rsidRPr="008D4C24">
        <w:rPr>
          <w:rFonts w:ascii="Courier New" w:hAnsi="Courier New" w:cs="Courier New"/>
          <w:sz w:val="24"/>
          <w:szCs w:val="24"/>
        </w:rPr>
        <w:t>/201</w:t>
      </w:r>
      <w:r>
        <w:rPr>
          <w:rFonts w:ascii="Courier New" w:hAnsi="Courier New" w:cs="Courier New"/>
          <w:sz w:val="24"/>
          <w:szCs w:val="24"/>
        </w:rPr>
        <w:t>6</w:t>
      </w:r>
      <w:r w:rsidRPr="008D4C24">
        <w:rPr>
          <w:rFonts w:ascii="Courier New" w:hAnsi="Courier New" w:cs="Courier New"/>
          <w:sz w:val="24"/>
          <w:szCs w:val="24"/>
        </w:rPr>
        <w:t xml:space="preserve">                                     YİM:162/2013</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Yüksek İdare Mahkemesinde.</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Anayasanın 152.Maddesi Hakkında</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Mahkeme Heyeti: Mehmet Türker, Tanju Öncül, Beril Çağdal.</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Davacı:Me</w:t>
      </w:r>
      <w:r w:rsidR="0091335F">
        <w:rPr>
          <w:rFonts w:ascii="Courier New" w:hAnsi="Courier New" w:cs="Courier New"/>
          <w:sz w:val="24"/>
          <w:szCs w:val="24"/>
        </w:rPr>
        <w:t>h</w:t>
      </w:r>
      <w:r w:rsidRPr="008D4C24">
        <w:rPr>
          <w:rFonts w:ascii="Courier New" w:hAnsi="Courier New" w:cs="Courier New"/>
          <w:sz w:val="24"/>
          <w:szCs w:val="24"/>
        </w:rPr>
        <w:t>met Soğancı, Güyap Evleri No:19 Yıldırım Sokak, Göçmenköy</w:t>
      </w:r>
      <w:r w:rsidR="0091335F">
        <w:rPr>
          <w:rFonts w:ascii="Courier New" w:hAnsi="Courier New" w:cs="Courier New"/>
          <w:sz w:val="24"/>
          <w:szCs w:val="24"/>
        </w:rPr>
        <w:t>,</w:t>
      </w:r>
      <w:r w:rsidRPr="008D4C24">
        <w:rPr>
          <w:rFonts w:ascii="Courier New" w:hAnsi="Courier New" w:cs="Courier New"/>
          <w:sz w:val="24"/>
          <w:szCs w:val="24"/>
        </w:rPr>
        <w:t xml:space="preserve"> Lefkoşa</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t>İle</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Davalı:KKTC Maliye Bakanlığı vasıtasıyla KKTC, Lefkoşa</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r>
      <w:r w:rsidRPr="008D4C24">
        <w:rPr>
          <w:rFonts w:ascii="Courier New" w:hAnsi="Courier New" w:cs="Courier New"/>
          <w:sz w:val="24"/>
          <w:szCs w:val="24"/>
        </w:rPr>
        <w:tab/>
        <w:t>A r a s ı n d a.</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Davacı namına:Avukat Müjgan Irkad</w:t>
      </w:r>
    </w:p>
    <w:p w:rsidR="0035255C" w:rsidRPr="008D4C24" w:rsidRDefault="0035255C" w:rsidP="008D4C24">
      <w:pPr>
        <w:spacing w:line="360" w:lineRule="auto"/>
        <w:rPr>
          <w:rFonts w:ascii="Courier New" w:hAnsi="Courier New" w:cs="Courier New"/>
          <w:sz w:val="24"/>
          <w:szCs w:val="24"/>
        </w:rPr>
      </w:pPr>
      <w:r w:rsidRPr="008D4C24">
        <w:rPr>
          <w:rFonts w:ascii="Courier New" w:hAnsi="Courier New" w:cs="Courier New"/>
          <w:sz w:val="24"/>
          <w:szCs w:val="24"/>
        </w:rPr>
        <w:t>Davalı namına: Savcı İlter Koyuncuoğlu.</w:t>
      </w:r>
    </w:p>
    <w:p w:rsidR="0035255C" w:rsidRPr="008D4C24" w:rsidRDefault="0035255C" w:rsidP="008D4C24">
      <w:pPr>
        <w:spacing w:line="360" w:lineRule="auto"/>
        <w:jc w:val="center"/>
        <w:rPr>
          <w:rFonts w:ascii="Courier New" w:hAnsi="Courier New" w:cs="Courier New"/>
          <w:sz w:val="24"/>
          <w:szCs w:val="24"/>
        </w:rPr>
      </w:pPr>
      <w:r w:rsidRPr="008D4C24">
        <w:rPr>
          <w:rFonts w:ascii="Courier New" w:hAnsi="Courier New" w:cs="Courier New"/>
          <w:sz w:val="24"/>
          <w:szCs w:val="24"/>
        </w:rPr>
        <w:t>.............</w:t>
      </w:r>
    </w:p>
    <w:p w:rsidR="0035255C" w:rsidRPr="008D4C24" w:rsidRDefault="0035255C" w:rsidP="008D4C24">
      <w:pPr>
        <w:spacing w:line="360" w:lineRule="auto"/>
        <w:jc w:val="center"/>
        <w:rPr>
          <w:rFonts w:ascii="Courier New" w:hAnsi="Courier New" w:cs="Courier New"/>
          <w:sz w:val="24"/>
          <w:szCs w:val="24"/>
          <w:u w:val="single"/>
        </w:rPr>
      </w:pPr>
      <w:r w:rsidRPr="008D4C24">
        <w:rPr>
          <w:rFonts w:ascii="Courier New" w:hAnsi="Courier New" w:cs="Courier New"/>
          <w:sz w:val="24"/>
          <w:szCs w:val="24"/>
          <w:u w:val="single"/>
        </w:rPr>
        <w:t>K A R A R</w:t>
      </w:r>
    </w:p>
    <w:p w:rsidR="00AA41C5" w:rsidRDefault="00EB7384" w:rsidP="00EB7384">
      <w:pPr>
        <w:spacing w:line="360" w:lineRule="auto"/>
        <w:ind w:left="708"/>
        <w:rPr>
          <w:rFonts w:ascii="Courier New" w:hAnsi="Courier New" w:cs="Courier New"/>
          <w:sz w:val="24"/>
          <w:szCs w:val="24"/>
        </w:rPr>
      </w:pPr>
      <w:r>
        <w:rPr>
          <w:rFonts w:ascii="Courier New" w:hAnsi="Courier New" w:cs="Courier New"/>
          <w:sz w:val="24"/>
          <w:szCs w:val="24"/>
          <w:u w:val="single"/>
        </w:rPr>
        <w:t>Mehmet Türker</w:t>
      </w:r>
      <w:r w:rsidR="00F56F38" w:rsidRPr="00032BCC">
        <w:rPr>
          <w:rFonts w:ascii="Courier New" w:hAnsi="Courier New" w:cs="Courier New"/>
          <w:sz w:val="24"/>
          <w:szCs w:val="24"/>
          <w:u w:val="single"/>
        </w:rPr>
        <w:t>:</w:t>
      </w:r>
      <w:r w:rsidR="00F56F38" w:rsidRPr="00032BCC">
        <w:rPr>
          <w:rFonts w:ascii="Courier New" w:hAnsi="Courier New" w:cs="Courier New"/>
          <w:sz w:val="24"/>
          <w:szCs w:val="24"/>
        </w:rPr>
        <w:t>Bu davada, Mahkeme kara</w:t>
      </w:r>
      <w:r w:rsidR="00F56F38">
        <w:rPr>
          <w:rFonts w:ascii="Courier New" w:hAnsi="Courier New" w:cs="Courier New"/>
          <w:sz w:val="24"/>
          <w:szCs w:val="24"/>
        </w:rPr>
        <w:t xml:space="preserve">rını, Sayın Yargıç Tanju Öncül </w:t>
      </w:r>
      <w:r w:rsidR="00F56F38" w:rsidRPr="00032BCC">
        <w:rPr>
          <w:rFonts w:ascii="Courier New" w:hAnsi="Courier New" w:cs="Courier New"/>
          <w:sz w:val="24"/>
          <w:szCs w:val="24"/>
        </w:rPr>
        <w:t>okuyacaktır.</w:t>
      </w:r>
    </w:p>
    <w:p w:rsidR="00EB7384" w:rsidRPr="0091335F" w:rsidRDefault="00EB7384" w:rsidP="0091335F">
      <w:pPr>
        <w:spacing w:line="360" w:lineRule="auto"/>
        <w:ind w:firstLine="708"/>
        <w:rPr>
          <w:rFonts w:ascii="Courier New" w:hAnsi="Courier New" w:cs="Courier New"/>
          <w:sz w:val="24"/>
          <w:szCs w:val="24"/>
          <w:u w:val="single"/>
        </w:rPr>
      </w:pPr>
      <w:r w:rsidRPr="00EB7384">
        <w:rPr>
          <w:rFonts w:ascii="Courier New" w:hAnsi="Courier New" w:cs="Courier New"/>
          <w:sz w:val="24"/>
          <w:szCs w:val="24"/>
          <w:u w:val="single"/>
        </w:rPr>
        <w:t>Tanju Öncül:</w:t>
      </w:r>
      <w:r w:rsidRPr="00EB7384">
        <w:rPr>
          <w:rFonts w:ascii="Courier New" w:hAnsi="Courier New" w:cs="Courier New"/>
          <w:sz w:val="24"/>
          <w:szCs w:val="24"/>
        </w:rPr>
        <w:t>Davacı:</w:t>
      </w:r>
    </w:p>
    <w:p w:rsidR="0035255C" w:rsidRDefault="0035255C" w:rsidP="008D4C24">
      <w:pPr>
        <w:spacing w:line="240" w:lineRule="auto"/>
        <w:ind w:left="708"/>
        <w:rPr>
          <w:rFonts w:ascii="Courier New" w:hAnsi="Courier New" w:cs="Courier New"/>
          <w:sz w:val="24"/>
          <w:szCs w:val="24"/>
        </w:rPr>
      </w:pPr>
      <w:r>
        <w:rPr>
          <w:rFonts w:ascii="Courier New" w:hAnsi="Courier New" w:cs="Courier New"/>
          <w:sz w:val="24"/>
          <w:szCs w:val="24"/>
        </w:rPr>
        <w:t>A)Davalının, Güvenlik Kuvvetleri Komutan Yardımcısı Tuğgeneral iken emekliye ayrılan Davacının emekli maaş ve ikramiyesinin hesaplanmasında ”Generallik Ödeneği“‘ni dikkate almaması ile ilgili karar ve/veya işlemlerinin ve/veya Generallik Ödeneği’nin, Emeklilik Yasası ve Güvenlik Kamu Görevlileri Yasası amaçları bakımından, emeklilik amaçları için kabul edilen bir ödenek olarak değerlendirilemeyeceği yönündeki karar ve/veya işlemle-rinin ve/veya ”Generallik Ödeneği“ teriminin ”makam ödeneği“ olarak kabul edilemeyeceği yönündeki karar ve/veya işlemlerinin tamamen hükümsüz ve etkisiz olduğuna ve herhangi bir sonuç doğurmayacağına ilişkin bir Mahkeme emri ve/veya hükmü;</w:t>
      </w:r>
    </w:p>
    <w:p w:rsidR="0035255C" w:rsidRDefault="0035255C" w:rsidP="008D4C24">
      <w:pPr>
        <w:spacing w:line="240" w:lineRule="auto"/>
        <w:ind w:left="708"/>
        <w:rPr>
          <w:rFonts w:ascii="Courier New" w:hAnsi="Courier New" w:cs="Courier New"/>
          <w:sz w:val="24"/>
          <w:szCs w:val="24"/>
        </w:rPr>
      </w:pPr>
      <w:r>
        <w:rPr>
          <w:rFonts w:ascii="Courier New" w:hAnsi="Courier New" w:cs="Courier New"/>
          <w:sz w:val="24"/>
          <w:szCs w:val="24"/>
        </w:rPr>
        <w:t xml:space="preserve">B)Davalının, Davacıdan emeklilik iştirak payı ödeme yükümlülüğü olduğu süre içinde emeklilik iştirak payı keserken %15 Generallik ödeneğini de dikkate alarak kesmiş </w:t>
      </w:r>
      <w:r>
        <w:rPr>
          <w:rFonts w:ascii="Courier New" w:hAnsi="Courier New" w:cs="Courier New"/>
          <w:sz w:val="24"/>
          <w:szCs w:val="24"/>
        </w:rPr>
        <w:lastRenderedPageBreak/>
        <w:t xml:space="preserve">olduğu emeklilik iştirak payından, Generallik ödeneği miktarı üzerinden kesmiş </w:t>
      </w:r>
      <w:r w:rsidR="0091335F">
        <w:rPr>
          <w:rFonts w:ascii="Courier New" w:hAnsi="Courier New" w:cs="Courier New"/>
          <w:sz w:val="24"/>
          <w:szCs w:val="24"/>
        </w:rPr>
        <w:t>olduğu emeklilik iştirak payını</w:t>
      </w:r>
      <w:r>
        <w:rPr>
          <w:rFonts w:ascii="Courier New" w:hAnsi="Courier New" w:cs="Courier New"/>
          <w:sz w:val="24"/>
          <w:szCs w:val="24"/>
        </w:rPr>
        <w:t xml:space="preserve"> iade etmemesi ve/veya iade işlemi yapmaması gerekirken, ikramiyenin mütebaki kısmını Davacıya ödediği safhada iade etme yönünde aldığı kararın ve/veya yaptığı işlemlerin ve/veya borcuna karşılık mahsuplaşma işlemi yapmasının hükümsüz ve etkisiz olduğuna ve herhangi bir sonuç doğurmayacağına ilişkin bir Mahkeme emri ve/veya hükmü;</w:t>
      </w:r>
    </w:p>
    <w:p w:rsidR="0035255C" w:rsidRDefault="0035255C" w:rsidP="008D4C24">
      <w:pPr>
        <w:spacing w:line="240" w:lineRule="auto"/>
        <w:ind w:left="708"/>
        <w:rPr>
          <w:rFonts w:ascii="Courier New" w:hAnsi="Courier New" w:cs="Courier New"/>
          <w:sz w:val="24"/>
          <w:szCs w:val="24"/>
        </w:rPr>
      </w:pPr>
      <w:r>
        <w:rPr>
          <w:rFonts w:ascii="Courier New" w:hAnsi="Courier New" w:cs="Courier New"/>
          <w:sz w:val="24"/>
          <w:szCs w:val="24"/>
        </w:rPr>
        <w:t>C)Keza ve/veya alternatif olarak, Davalının, Davacıya çalışırken ödemiş olduğu ”Generallik Ödeneği“‘ni, emekli maaş ve ikramiyesinin hesaplanması sırasında dikkâte</w:t>
      </w:r>
      <w:r w:rsidR="0091335F">
        <w:rPr>
          <w:rFonts w:ascii="Courier New" w:hAnsi="Courier New" w:cs="Courier New"/>
          <w:sz w:val="24"/>
          <w:szCs w:val="24"/>
        </w:rPr>
        <w:t xml:space="preserve"> almamakla gösterdiği ihmali gös</w:t>
      </w:r>
      <w:r>
        <w:rPr>
          <w:rFonts w:ascii="Courier New" w:hAnsi="Courier New" w:cs="Courier New"/>
          <w:sz w:val="24"/>
          <w:szCs w:val="24"/>
        </w:rPr>
        <w:t>termemesi ve yaptığı ihmali sonlandırması gerektiği ve/veya söz konusu ihmalin tamamen yapılmaması gerektiğine ve ihmal olunan eylem veya işlemin yapılması yani ”generallik ödeneğinin“ emeklilik amaçları için dikkate alınarak emeklilik maaş ve ikramiyesinin yeniden hesaplanarak yükseltilmesi gerektiği hususunda mahkeme emri ve/veya hükmü;</w:t>
      </w:r>
    </w:p>
    <w:p w:rsidR="0035255C" w:rsidRDefault="0035255C" w:rsidP="008D4C24">
      <w:pPr>
        <w:spacing w:line="360" w:lineRule="auto"/>
        <w:rPr>
          <w:rFonts w:ascii="Courier New" w:hAnsi="Courier New" w:cs="Courier New"/>
          <w:sz w:val="24"/>
          <w:szCs w:val="24"/>
        </w:rPr>
      </w:pPr>
      <w:r>
        <w:rPr>
          <w:rFonts w:ascii="Courier New" w:hAnsi="Courier New" w:cs="Courier New"/>
          <w:sz w:val="24"/>
          <w:szCs w:val="24"/>
        </w:rPr>
        <w:t xml:space="preserve">taleplerinde bulunduğu davasını, konu kararın, 15/1979 Sayılı Yasa’nın, özellikle 4’üncü maddesinde yer alan ‘Makam’ ve ‘Amir’ tanımına, </w:t>
      </w:r>
      <w:r w:rsidR="0091335F">
        <w:rPr>
          <w:rFonts w:ascii="Courier New" w:hAnsi="Courier New" w:cs="Courier New"/>
          <w:sz w:val="24"/>
          <w:szCs w:val="24"/>
        </w:rPr>
        <w:t xml:space="preserve">Yasa’nın </w:t>
      </w:r>
      <w:r>
        <w:rPr>
          <w:rFonts w:ascii="Courier New" w:hAnsi="Courier New" w:cs="Courier New"/>
          <w:sz w:val="24"/>
          <w:szCs w:val="24"/>
        </w:rPr>
        <w:t>48A maddesi</w:t>
      </w:r>
      <w:r w:rsidR="00B61915">
        <w:rPr>
          <w:rFonts w:ascii="Courier New" w:hAnsi="Courier New" w:cs="Courier New"/>
          <w:sz w:val="24"/>
          <w:szCs w:val="24"/>
        </w:rPr>
        <w:t>ne</w:t>
      </w:r>
      <w:r w:rsidR="0091335F">
        <w:rPr>
          <w:rFonts w:ascii="Courier New" w:hAnsi="Courier New" w:cs="Courier New"/>
          <w:sz w:val="24"/>
          <w:szCs w:val="24"/>
        </w:rPr>
        <w:t xml:space="preserve"> ve</w:t>
      </w:r>
      <w:r>
        <w:rPr>
          <w:rFonts w:ascii="Courier New" w:hAnsi="Courier New" w:cs="Courier New"/>
          <w:sz w:val="24"/>
          <w:szCs w:val="24"/>
        </w:rPr>
        <w:t xml:space="preserve"> Emeklilik Yasası’nın 4(1) ve 36’ncı maddelerine aykırı olduğu, Davalının konu kararı alırken ilgili terimleri yanlış yorumladığı, kararın yasal dayanaktan yoksun, gerekçe içermeyen, keyfi bi</w:t>
      </w:r>
      <w:r w:rsidR="0091335F">
        <w:rPr>
          <w:rFonts w:ascii="Courier New" w:hAnsi="Courier New" w:cs="Courier New"/>
          <w:sz w:val="24"/>
          <w:szCs w:val="24"/>
        </w:rPr>
        <w:t>r karar olduğu, 15/1979 sayılı Y</w:t>
      </w:r>
      <w:r>
        <w:rPr>
          <w:rFonts w:ascii="Courier New" w:hAnsi="Courier New" w:cs="Courier New"/>
          <w:sz w:val="24"/>
          <w:szCs w:val="24"/>
        </w:rPr>
        <w:t>asa</w:t>
      </w:r>
      <w:r w:rsidR="0091335F">
        <w:rPr>
          <w:rFonts w:ascii="Courier New" w:hAnsi="Courier New" w:cs="Courier New"/>
          <w:sz w:val="24"/>
          <w:szCs w:val="24"/>
        </w:rPr>
        <w:t>’</w:t>
      </w:r>
      <w:r>
        <w:rPr>
          <w:rFonts w:ascii="Courier New" w:hAnsi="Courier New" w:cs="Courier New"/>
          <w:sz w:val="24"/>
          <w:szCs w:val="24"/>
        </w:rPr>
        <w:t xml:space="preserve">nın 48A maddesine göre </w:t>
      </w:r>
      <w:r w:rsidR="0091335F">
        <w:rPr>
          <w:rFonts w:ascii="Courier New" w:hAnsi="Courier New" w:cs="Courier New"/>
          <w:sz w:val="24"/>
          <w:szCs w:val="24"/>
        </w:rPr>
        <w:t>t</w:t>
      </w:r>
      <w:r>
        <w:rPr>
          <w:rFonts w:ascii="Courier New" w:hAnsi="Courier New" w:cs="Courier New"/>
          <w:sz w:val="24"/>
          <w:szCs w:val="24"/>
        </w:rPr>
        <w:t xml:space="preserve">uğgeneral kontenjanının bir adet olduğu ve </w:t>
      </w:r>
      <w:r w:rsidR="0091335F">
        <w:rPr>
          <w:rFonts w:ascii="Courier New" w:hAnsi="Courier New" w:cs="Courier New"/>
          <w:sz w:val="24"/>
          <w:szCs w:val="24"/>
        </w:rPr>
        <w:t>t</w:t>
      </w:r>
      <w:r>
        <w:rPr>
          <w:rFonts w:ascii="Courier New" w:hAnsi="Courier New" w:cs="Courier New"/>
          <w:sz w:val="24"/>
          <w:szCs w:val="24"/>
        </w:rPr>
        <w:t xml:space="preserve">uğgeneralliğe terfi sırasında maaşın %15’i oranında ”Generallik Ödeneği“‘nin, </w:t>
      </w:r>
      <w:r w:rsidR="0091335F">
        <w:rPr>
          <w:rFonts w:ascii="Courier New" w:hAnsi="Courier New" w:cs="Courier New"/>
          <w:sz w:val="24"/>
          <w:szCs w:val="24"/>
        </w:rPr>
        <w:t>g</w:t>
      </w:r>
      <w:r>
        <w:rPr>
          <w:rFonts w:ascii="Courier New" w:hAnsi="Courier New" w:cs="Courier New"/>
          <w:sz w:val="24"/>
          <w:szCs w:val="24"/>
        </w:rPr>
        <w:t xml:space="preserve">enerallik makamını tutan </w:t>
      </w:r>
      <w:r w:rsidR="0091335F">
        <w:rPr>
          <w:rFonts w:ascii="Courier New" w:hAnsi="Courier New" w:cs="Courier New"/>
          <w:sz w:val="24"/>
          <w:szCs w:val="24"/>
        </w:rPr>
        <w:t>t</w:t>
      </w:r>
      <w:r>
        <w:rPr>
          <w:rFonts w:ascii="Courier New" w:hAnsi="Courier New" w:cs="Courier New"/>
          <w:sz w:val="24"/>
          <w:szCs w:val="24"/>
        </w:rPr>
        <w:t>uğgenerale, o makamı tuttuğundan dolayı ödenen makam ödeneğinden başka bir</w:t>
      </w:r>
      <w:r w:rsidR="0091335F">
        <w:rPr>
          <w:rFonts w:ascii="Courier New" w:hAnsi="Courier New" w:cs="Courier New"/>
          <w:sz w:val="24"/>
          <w:szCs w:val="24"/>
        </w:rPr>
        <w:t xml:space="preserve"> </w:t>
      </w:r>
      <w:r>
        <w:rPr>
          <w:rFonts w:ascii="Courier New" w:hAnsi="Courier New" w:cs="Courier New"/>
          <w:sz w:val="24"/>
          <w:szCs w:val="24"/>
        </w:rPr>
        <w:t>şey olmadığı, 26/1977 Sayılı Emeklilik Yasası’nın 4(1) maddesinde emeklilik amaçları için kabul edilen ödeneklerin belirlendiği, ”</w:t>
      </w:r>
      <w:r w:rsidR="00B61915">
        <w:rPr>
          <w:rFonts w:ascii="Courier New" w:hAnsi="Courier New" w:cs="Courier New"/>
          <w:sz w:val="24"/>
          <w:szCs w:val="24"/>
        </w:rPr>
        <w:t>M</w:t>
      </w:r>
      <w:r>
        <w:rPr>
          <w:rFonts w:ascii="Courier New" w:hAnsi="Courier New" w:cs="Courier New"/>
          <w:sz w:val="24"/>
          <w:szCs w:val="24"/>
        </w:rPr>
        <w:t xml:space="preserve">akam </w:t>
      </w:r>
      <w:r w:rsidR="00B61915">
        <w:rPr>
          <w:rFonts w:ascii="Courier New" w:hAnsi="Courier New" w:cs="Courier New"/>
          <w:sz w:val="24"/>
          <w:szCs w:val="24"/>
        </w:rPr>
        <w:t>Ö</w:t>
      </w:r>
      <w:r>
        <w:rPr>
          <w:rFonts w:ascii="Courier New" w:hAnsi="Courier New" w:cs="Courier New"/>
          <w:sz w:val="24"/>
          <w:szCs w:val="24"/>
        </w:rPr>
        <w:t>deneğinin“</w:t>
      </w:r>
      <w:r w:rsidR="0091335F">
        <w:rPr>
          <w:rFonts w:ascii="Courier New" w:hAnsi="Courier New" w:cs="Courier New"/>
          <w:sz w:val="24"/>
          <w:szCs w:val="24"/>
        </w:rPr>
        <w:t xml:space="preserve"> </w:t>
      </w:r>
      <w:r>
        <w:rPr>
          <w:rFonts w:ascii="Courier New" w:hAnsi="Courier New" w:cs="Courier New"/>
          <w:sz w:val="24"/>
          <w:szCs w:val="24"/>
        </w:rPr>
        <w:t>de emeklilik amaçları için kabul edilen ödenekler arasında olduğu, yasa koyucunun 33/2005 Sayı</w:t>
      </w:r>
      <w:r w:rsidR="0091335F">
        <w:rPr>
          <w:rFonts w:ascii="Courier New" w:hAnsi="Courier New" w:cs="Courier New"/>
          <w:sz w:val="24"/>
          <w:szCs w:val="24"/>
        </w:rPr>
        <w:t>lı Yasa’da yaptığı değişiklikle</w:t>
      </w:r>
      <w:r>
        <w:rPr>
          <w:rFonts w:ascii="Courier New" w:hAnsi="Courier New" w:cs="Courier New"/>
          <w:sz w:val="24"/>
          <w:szCs w:val="24"/>
        </w:rPr>
        <w:t xml:space="preserve"> </w:t>
      </w:r>
      <w:r w:rsidR="0091335F">
        <w:rPr>
          <w:rFonts w:ascii="Courier New" w:hAnsi="Courier New" w:cs="Courier New"/>
          <w:sz w:val="24"/>
          <w:szCs w:val="24"/>
        </w:rPr>
        <w:t>t</w:t>
      </w:r>
      <w:r>
        <w:rPr>
          <w:rFonts w:ascii="Courier New" w:hAnsi="Courier New" w:cs="Courier New"/>
          <w:sz w:val="24"/>
          <w:szCs w:val="24"/>
        </w:rPr>
        <w:t>uğgeneral rütbesinde bulunana, ”G</w:t>
      </w:r>
      <w:r w:rsidR="0091335F">
        <w:rPr>
          <w:rFonts w:ascii="Courier New" w:hAnsi="Courier New" w:cs="Courier New"/>
          <w:sz w:val="24"/>
          <w:szCs w:val="24"/>
        </w:rPr>
        <w:t>enerallik Ödeneği“ adı altında M</w:t>
      </w:r>
      <w:r>
        <w:rPr>
          <w:rFonts w:ascii="Courier New" w:hAnsi="Courier New" w:cs="Courier New"/>
          <w:sz w:val="24"/>
          <w:szCs w:val="24"/>
        </w:rPr>
        <w:t>a</w:t>
      </w:r>
      <w:r w:rsidR="0091335F">
        <w:rPr>
          <w:rFonts w:ascii="Courier New" w:hAnsi="Courier New" w:cs="Courier New"/>
          <w:sz w:val="24"/>
          <w:szCs w:val="24"/>
        </w:rPr>
        <w:t>kam Ö</w:t>
      </w:r>
      <w:r>
        <w:rPr>
          <w:rFonts w:ascii="Courier New" w:hAnsi="Courier New" w:cs="Courier New"/>
          <w:sz w:val="24"/>
          <w:szCs w:val="24"/>
        </w:rPr>
        <w:t xml:space="preserve">deneği vermeyi amaçladığı, </w:t>
      </w:r>
      <w:r w:rsidR="0091335F">
        <w:rPr>
          <w:rFonts w:ascii="Courier New" w:hAnsi="Courier New" w:cs="Courier New"/>
          <w:sz w:val="24"/>
          <w:szCs w:val="24"/>
        </w:rPr>
        <w:t>g</w:t>
      </w:r>
      <w:r>
        <w:rPr>
          <w:rFonts w:ascii="Courier New" w:hAnsi="Courier New" w:cs="Courier New"/>
          <w:sz w:val="24"/>
          <w:szCs w:val="24"/>
        </w:rPr>
        <w:t xml:space="preserve">enerallik makamının da, </w:t>
      </w:r>
      <w:r w:rsidR="0091335F">
        <w:rPr>
          <w:rFonts w:ascii="Courier New" w:hAnsi="Courier New" w:cs="Courier New"/>
          <w:sz w:val="24"/>
          <w:szCs w:val="24"/>
        </w:rPr>
        <w:t>g</w:t>
      </w:r>
      <w:r>
        <w:rPr>
          <w:rFonts w:ascii="Courier New" w:hAnsi="Courier New" w:cs="Courier New"/>
          <w:sz w:val="24"/>
          <w:szCs w:val="24"/>
        </w:rPr>
        <w:t xml:space="preserve">enerallik mevkiini </w:t>
      </w:r>
      <w:r w:rsidR="00FF30D5">
        <w:rPr>
          <w:rFonts w:ascii="Courier New" w:hAnsi="Courier New" w:cs="Courier New"/>
          <w:sz w:val="24"/>
          <w:szCs w:val="24"/>
        </w:rPr>
        <w:t xml:space="preserve">ve </w:t>
      </w:r>
      <w:r>
        <w:rPr>
          <w:rFonts w:ascii="Courier New" w:hAnsi="Courier New" w:cs="Courier New"/>
          <w:sz w:val="24"/>
          <w:szCs w:val="24"/>
        </w:rPr>
        <w:t>Güvenlik Kuvvetleri Komutan Yardımcısı makamını anlattığı, Güvenlik Kamu Görevlileri Yasası’nın lafzından ve ruhundan ”Generallik Ödeneği“‘nin,</w:t>
      </w:r>
      <w:r w:rsidR="00FF30D5">
        <w:rPr>
          <w:rFonts w:ascii="Courier New" w:hAnsi="Courier New" w:cs="Courier New"/>
          <w:sz w:val="24"/>
          <w:szCs w:val="24"/>
        </w:rPr>
        <w:t xml:space="preserve"> ”M</w:t>
      </w:r>
      <w:r>
        <w:rPr>
          <w:rFonts w:ascii="Courier New" w:hAnsi="Courier New" w:cs="Courier New"/>
          <w:sz w:val="24"/>
          <w:szCs w:val="24"/>
        </w:rPr>
        <w:t xml:space="preserve">akam </w:t>
      </w:r>
      <w:r w:rsidR="00FF30D5">
        <w:rPr>
          <w:rFonts w:ascii="Courier New" w:hAnsi="Courier New" w:cs="Courier New"/>
          <w:sz w:val="24"/>
          <w:szCs w:val="24"/>
        </w:rPr>
        <w:t>Ö</w:t>
      </w:r>
      <w:r>
        <w:rPr>
          <w:rFonts w:ascii="Courier New" w:hAnsi="Courier New" w:cs="Courier New"/>
          <w:sz w:val="24"/>
          <w:szCs w:val="24"/>
        </w:rPr>
        <w:t>deneği</w:t>
      </w:r>
      <w:r w:rsidR="00FF30D5">
        <w:rPr>
          <w:rFonts w:ascii="Courier New" w:hAnsi="Courier New" w:cs="Courier New"/>
          <w:sz w:val="24"/>
          <w:szCs w:val="24"/>
        </w:rPr>
        <w:t>“</w:t>
      </w:r>
      <w:r>
        <w:rPr>
          <w:rFonts w:ascii="Courier New" w:hAnsi="Courier New" w:cs="Courier New"/>
          <w:sz w:val="24"/>
          <w:szCs w:val="24"/>
        </w:rPr>
        <w:t xml:space="preserve"> olarak emeklilik </w:t>
      </w:r>
      <w:r>
        <w:rPr>
          <w:rFonts w:ascii="Courier New" w:hAnsi="Courier New" w:cs="Courier New"/>
          <w:sz w:val="24"/>
          <w:szCs w:val="24"/>
        </w:rPr>
        <w:lastRenderedPageBreak/>
        <w:t>amaçları için dikkâte alın</w:t>
      </w:r>
      <w:r w:rsidR="00FF30D5">
        <w:rPr>
          <w:rFonts w:ascii="Courier New" w:hAnsi="Courier New" w:cs="Courier New"/>
          <w:sz w:val="24"/>
          <w:szCs w:val="24"/>
        </w:rPr>
        <w:t>ması gerektiğinin anlaşıldığı, İ</w:t>
      </w:r>
      <w:r>
        <w:rPr>
          <w:rFonts w:ascii="Courier New" w:hAnsi="Courier New" w:cs="Courier New"/>
          <w:sz w:val="24"/>
          <w:szCs w:val="24"/>
        </w:rPr>
        <w:t xml:space="preserve">ç </w:t>
      </w:r>
      <w:r w:rsidR="00FF30D5">
        <w:rPr>
          <w:rFonts w:ascii="Courier New" w:hAnsi="Courier New" w:cs="Courier New"/>
          <w:sz w:val="24"/>
          <w:szCs w:val="24"/>
        </w:rPr>
        <w:t>H</w:t>
      </w:r>
      <w:r>
        <w:rPr>
          <w:rFonts w:ascii="Courier New" w:hAnsi="Courier New" w:cs="Courier New"/>
          <w:sz w:val="24"/>
          <w:szCs w:val="24"/>
        </w:rPr>
        <w:t xml:space="preserve">izmet </w:t>
      </w:r>
      <w:r w:rsidR="00FF30D5">
        <w:rPr>
          <w:rFonts w:ascii="Courier New" w:hAnsi="Courier New" w:cs="Courier New"/>
          <w:sz w:val="24"/>
          <w:szCs w:val="24"/>
        </w:rPr>
        <w:t>Y</w:t>
      </w:r>
      <w:r>
        <w:rPr>
          <w:rFonts w:ascii="Courier New" w:hAnsi="Courier New" w:cs="Courier New"/>
          <w:sz w:val="24"/>
          <w:szCs w:val="24"/>
        </w:rPr>
        <w:t>asası</w:t>
      </w:r>
      <w:r w:rsidR="00FF30D5">
        <w:rPr>
          <w:rFonts w:ascii="Courier New" w:hAnsi="Courier New" w:cs="Courier New"/>
          <w:sz w:val="24"/>
          <w:szCs w:val="24"/>
        </w:rPr>
        <w:t>’nda da ”t</w:t>
      </w:r>
      <w:r>
        <w:rPr>
          <w:rFonts w:ascii="Courier New" w:hAnsi="Courier New" w:cs="Courier New"/>
          <w:sz w:val="24"/>
          <w:szCs w:val="24"/>
        </w:rPr>
        <w:t>uğgeneral“ yerine ”</w:t>
      </w:r>
      <w:r w:rsidR="00FF30D5">
        <w:rPr>
          <w:rFonts w:ascii="Courier New" w:hAnsi="Courier New" w:cs="Courier New"/>
          <w:sz w:val="24"/>
          <w:szCs w:val="24"/>
        </w:rPr>
        <w:t>g</w:t>
      </w:r>
      <w:r>
        <w:rPr>
          <w:rFonts w:ascii="Courier New" w:hAnsi="Courier New" w:cs="Courier New"/>
          <w:sz w:val="24"/>
          <w:szCs w:val="24"/>
        </w:rPr>
        <w:t>eneral“ kelimesinin kullanıldığı, Emeklilik Yasası’nın 36’ncı maddesi gereği ortada çelişkili kurallar olması</w:t>
      </w:r>
      <w:r w:rsidR="00425CD4">
        <w:rPr>
          <w:rFonts w:ascii="Courier New" w:hAnsi="Courier New" w:cs="Courier New"/>
          <w:sz w:val="24"/>
          <w:szCs w:val="24"/>
        </w:rPr>
        <w:t xml:space="preserve"> halinde bunun memur lehine ve</w:t>
      </w:r>
      <w:r w:rsidR="00FF30D5">
        <w:rPr>
          <w:rFonts w:ascii="Courier New" w:hAnsi="Courier New" w:cs="Courier New"/>
          <w:sz w:val="24"/>
          <w:szCs w:val="24"/>
        </w:rPr>
        <w:t xml:space="preserve"> D</w:t>
      </w:r>
      <w:r>
        <w:rPr>
          <w:rFonts w:ascii="Courier New" w:hAnsi="Courier New" w:cs="Courier New"/>
          <w:sz w:val="24"/>
          <w:szCs w:val="24"/>
        </w:rPr>
        <w:t xml:space="preserve">evlet aleyhine yorumlanması gerektiği, bunun da </w:t>
      </w:r>
      <w:r w:rsidR="00FF30D5">
        <w:rPr>
          <w:rFonts w:ascii="Courier New" w:hAnsi="Courier New" w:cs="Courier New"/>
          <w:sz w:val="24"/>
          <w:szCs w:val="24"/>
        </w:rPr>
        <w:t>G</w:t>
      </w:r>
      <w:r>
        <w:rPr>
          <w:rFonts w:ascii="Courier New" w:hAnsi="Courier New" w:cs="Courier New"/>
          <w:sz w:val="24"/>
          <w:szCs w:val="24"/>
        </w:rPr>
        <w:t xml:space="preserve">enerallik </w:t>
      </w:r>
      <w:r w:rsidR="00425CD4">
        <w:rPr>
          <w:rFonts w:ascii="Courier New" w:hAnsi="Courier New" w:cs="Courier New"/>
          <w:sz w:val="24"/>
          <w:szCs w:val="24"/>
        </w:rPr>
        <w:t>Ödeneğinin M</w:t>
      </w:r>
      <w:r>
        <w:rPr>
          <w:rFonts w:ascii="Courier New" w:hAnsi="Courier New" w:cs="Courier New"/>
          <w:sz w:val="24"/>
          <w:szCs w:val="24"/>
        </w:rPr>
        <w:t xml:space="preserve">akam </w:t>
      </w:r>
      <w:r w:rsidR="00FF30D5">
        <w:rPr>
          <w:rFonts w:ascii="Courier New" w:hAnsi="Courier New" w:cs="Courier New"/>
          <w:sz w:val="24"/>
          <w:szCs w:val="24"/>
        </w:rPr>
        <w:t>Ö</w:t>
      </w:r>
      <w:r>
        <w:rPr>
          <w:rFonts w:ascii="Courier New" w:hAnsi="Courier New" w:cs="Courier New"/>
          <w:sz w:val="24"/>
          <w:szCs w:val="24"/>
        </w:rPr>
        <w:t>deneği şeklinde tefsir edilmesini gerektirdiği özlü hukuki esaslara dayandırmıştır.</w:t>
      </w:r>
    </w:p>
    <w:p w:rsidR="0035255C" w:rsidRDefault="0035255C" w:rsidP="00DC21E8">
      <w:pPr>
        <w:spacing w:line="360" w:lineRule="auto"/>
        <w:ind w:right="-288"/>
        <w:rPr>
          <w:rFonts w:ascii="Courier New" w:hAnsi="Courier New" w:cs="Courier New"/>
          <w:sz w:val="24"/>
          <w:szCs w:val="24"/>
        </w:rPr>
      </w:pPr>
      <w:r>
        <w:rPr>
          <w:rFonts w:ascii="Courier New" w:hAnsi="Courier New" w:cs="Courier New"/>
          <w:sz w:val="24"/>
          <w:szCs w:val="24"/>
        </w:rPr>
        <w:tab/>
        <w:t>Anılan taleplere karşı dosyalanan Müdafaa Takririnde, Davalı tarafı, konu kararın</w:t>
      </w:r>
      <w:r w:rsidR="00FF30D5">
        <w:rPr>
          <w:rFonts w:ascii="Courier New" w:hAnsi="Courier New" w:cs="Courier New"/>
          <w:sz w:val="24"/>
          <w:szCs w:val="24"/>
        </w:rPr>
        <w:t xml:space="preserve"> 15/1979 ve 26/1977 sayılı Y</w:t>
      </w:r>
      <w:r>
        <w:rPr>
          <w:rFonts w:ascii="Courier New" w:hAnsi="Courier New" w:cs="Courier New"/>
          <w:sz w:val="24"/>
          <w:szCs w:val="24"/>
        </w:rPr>
        <w:t>asalara uygun olduğu, 15/1979 Sayılı Yasa’nın 48A maddesinin 3’üncü fıkrasına göre</w:t>
      </w:r>
      <w:r w:rsidR="00184E4C">
        <w:rPr>
          <w:rFonts w:ascii="Courier New" w:hAnsi="Courier New" w:cs="Courier New"/>
          <w:sz w:val="24"/>
          <w:szCs w:val="24"/>
        </w:rPr>
        <w:t>,</w:t>
      </w:r>
      <w:r>
        <w:rPr>
          <w:rFonts w:ascii="Courier New" w:hAnsi="Courier New" w:cs="Courier New"/>
          <w:sz w:val="24"/>
          <w:szCs w:val="24"/>
        </w:rPr>
        <w:t xml:space="preserve"> </w:t>
      </w:r>
      <w:r w:rsidR="00184E4C">
        <w:rPr>
          <w:rFonts w:ascii="Courier New" w:hAnsi="Courier New" w:cs="Courier New"/>
          <w:sz w:val="24"/>
          <w:szCs w:val="24"/>
        </w:rPr>
        <w:t>t</w:t>
      </w:r>
      <w:r>
        <w:rPr>
          <w:rFonts w:ascii="Courier New" w:hAnsi="Courier New" w:cs="Courier New"/>
          <w:sz w:val="24"/>
          <w:szCs w:val="24"/>
        </w:rPr>
        <w:t xml:space="preserve">uğgeneralliğe terfi sırasındaki  maaşın %15’i oranında </w:t>
      </w:r>
      <w:r w:rsidR="00184E4C">
        <w:rPr>
          <w:rFonts w:ascii="Courier New" w:hAnsi="Courier New" w:cs="Courier New"/>
          <w:sz w:val="24"/>
          <w:szCs w:val="24"/>
        </w:rPr>
        <w:t>G</w:t>
      </w:r>
      <w:r>
        <w:rPr>
          <w:rFonts w:ascii="Courier New" w:hAnsi="Courier New" w:cs="Courier New"/>
          <w:sz w:val="24"/>
          <w:szCs w:val="24"/>
        </w:rPr>
        <w:t xml:space="preserve">enerallik </w:t>
      </w:r>
      <w:r w:rsidR="00184E4C">
        <w:rPr>
          <w:rFonts w:ascii="Courier New" w:hAnsi="Courier New" w:cs="Courier New"/>
          <w:sz w:val="24"/>
          <w:szCs w:val="24"/>
        </w:rPr>
        <w:t>Ö</w:t>
      </w:r>
      <w:r>
        <w:rPr>
          <w:rFonts w:ascii="Courier New" w:hAnsi="Courier New" w:cs="Courier New"/>
          <w:sz w:val="24"/>
          <w:szCs w:val="24"/>
        </w:rPr>
        <w:t xml:space="preserve">deneği verildiği ve bunun vergiye tabi olmadığı, </w:t>
      </w:r>
      <w:r w:rsidR="00184E4C">
        <w:rPr>
          <w:rFonts w:ascii="Courier New" w:hAnsi="Courier New" w:cs="Courier New"/>
          <w:sz w:val="24"/>
          <w:szCs w:val="24"/>
        </w:rPr>
        <w:t>G</w:t>
      </w:r>
      <w:r>
        <w:rPr>
          <w:rFonts w:ascii="Courier New" w:hAnsi="Courier New" w:cs="Courier New"/>
          <w:sz w:val="24"/>
          <w:szCs w:val="24"/>
        </w:rPr>
        <w:t>eneralli</w:t>
      </w:r>
      <w:r w:rsidR="00184E4C">
        <w:rPr>
          <w:rFonts w:ascii="Courier New" w:hAnsi="Courier New" w:cs="Courier New"/>
          <w:sz w:val="24"/>
          <w:szCs w:val="24"/>
        </w:rPr>
        <w:t>k Ö</w:t>
      </w:r>
      <w:r>
        <w:rPr>
          <w:rFonts w:ascii="Courier New" w:hAnsi="Courier New" w:cs="Courier New"/>
          <w:sz w:val="24"/>
          <w:szCs w:val="24"/>
        </w:rPr>
        <w:t xml:space="preserve">deneğinin emeklilik amaçları bakımından dikkâte alınacağının bu maddede veya 15/1979 Sayılı Yasa’nın başka herhangi bir maddesinde yer almadığı, </w:t>
      </w:r>
      <w:r w:rsidR="00184E4C">
        <w:rPr>
          <w:rFonts w:ascii="Courier New" w:hAnsi="Courier New" w:cs="Courier New"/>
          <w:sz w:val="24"/>
          <w:szCs w:val="24"/>
        </w:rPr>
        <w:t>G</w:t>
      </w:r>
      <w:r>
        <w:rPr>
          <w:rFonts w:ascii="Courier New" w:hAnsi="Courier New" w:cs="Courier New"/>
          <w:sz w:val="24"/>
          <w:szCs w:val="24"/>
        </w:rPr>
        <w:t xml:space="preserve">enerallik </w:t>
      </w:r>
      <w:r w:rsidR="00184E4C">
        <w:rPr>
          <w:rFonts w:ascii="Courier New" w:hAnsi="Courier New" w:cs="Courier New"/>
          <w:sz w:val="24"/>
          <w:szCs w:val="24"/>
        </w:rPr>
        <w:t>Ödeneğinin, 26/1977 sayılı Y</w:t>
      </w:r>
      <w:r>
        <w:rPr>
          <w:rFonts w:ascii="Courier New" w:hAnsi="Courier New" w:cs="Courier New"/>
          <w:sz w:val="24"/>
          <w:szCs w:val="24"/>
        </w:rPr>
        <w:t>asa</w:t>
      </w:r>
      <w:r w:rsidR="00425CD4">
        <w:rPr>
          <w:rFonts w:ascii="Courier New" w:hAnsi="Courier New" w:cs="Courier New"/>
          <w:sz w:val="24"/>
          <w:szCs w:val="24"/>
        </w:rPr>
        <w:t>’</w:t>
      </w:r>
      <w:r>
        <w:rPr>
          <w:rFonts w:ascii="Courier New" w:hAnsi="Courier New" w:cs="Courier New"/>
          <w:sz w:val="24"/>
          <w:szCs w:val="24"/>
        </w:rPr>
        <w:t>nı</w:t>
      </w:r>
      <w:r w:rsidR="00184E4C">
        <w:rPr>
          <w:rFonts w:ascii="Courier New" w:hAnsi="Courier New" w:cs="Courier New"/>
          <w:sz w:val="24"/>
          <w:szCs w:val="24"/>
        </w:rPr>
        <w:t>n</w:t>
      </w:r>
      <w:r>
        <w:rPr>
          <w:rFonts w:ascii="Courier New" w:hAnsi="Courier New" w:cs="Courier New"/>
          <w:sz w:val="24"/>
          <w:szCs w:val="24"/>
        </w:rPr>
        <w:t xml:space="preserve"> 4(1)(b)(c)(ç)(d)(e)(f)(g) bentlerinde sayılan bir ödenek olmadığı gibi özel yasa olan 15/1979 Sayılı Yasa’da da </w:t>
      </w:r>
      <w:r w:rsidR="00184E4C">
        <w:rPr>
          <w:rFonts w:ascii="Courier New" w:hAnsi="Courier New" w:cs="Courier New"/>
          <w:sz w:val="24"/>
          <w:szCs w:val="24"/>
        </w:rPr>
        <w:t xml:space="preserve">bu yönde </w:t>
      </w:r>
      <w:r>
        <w:rPr>
          <w:rFonts w:ascii="Courier New" w:hAnsi="Courier New" w:cs="Courier New"/>
          <w:sz w:val="24"/>
          <w:szCs w:val="24"/>
        </w:rPr>
        <w:t xml:space="preserve">bir kural olmadığı, 15/1979 Sayılı Yasa’nın 48A maddesinin sarih olup yoruma muhtaç bulunmadığı özlü hukuksal argümanları ileri sürmüştür. </w:t>
      </w:r>
    </w:p>
    <w:p w:rsidR="0035255C" w:rsidRDefault="0035255C" w:rsidP="00736BD8">
      <w:pPr>
        <w:spacing w:line="360" w:lineRule="auto"/>
        <w:ind w:firstLine="708"/>
        <w:rPr>
          <w:rFonts w:ascii="Courier New" w:hAnsi="Courier New" w:cs="Courier New"/>
          <w:sz w:val="24"/>
          <w:szCs w:val="24"/>
        </w:rPr>
      </w:pPr>
      <w:r w:rsidRPr="00736BD8">
        <w:rPr>
          <w:rFonts w:ascii="Courier New" w:hAnsi="Courier New" w:cs="Courier New"/>
          <w:sz w:val="24"/>
          <w:szCs w:val="24"/>
        </w:rPr>
        <w:t>Buna karşı dosyalanan Müdafaaya Cevap Takririnde ise</w:t>
      </w:r>
      <w:r>
        <w:rPr>
          <w:rFonts w:ascii="Courier New" w:hAnsi="Courier New" w:cs="Courier New"/>
          <w:sz w:val="24"/>
          <w:szCs w:val="24"/>
        </w:rPr>
        <w:t>,</w:t>
      </w:r>
      <w:r w:rsidRPr="00736BD8">
        <w:rPr>
          <w:rFonts w:ascii="Courier New" w:hAnsi="Courier New" w:cs="Courier New"/>
          <w:sz w:val="24"/>
          <w:szCs w:val="24"/>
        </w:rPr>
        <w:t xml:space="preserve"> bir anlamda davadaki iddialar yinelenmiştir. </w:t>
      </w:r>
    </w:p>
    <w:p w:rsidR="0035255C" w:rsidRPr="00736BD8" w:rsidRDefault="0035255C" w:rsidP="00736BD8">
      <w:pPr>
        <w:spacing w:line="360" w:lineRule="auto"/>
        <w:ind w:firstLine="708"/>
        <w:rPr>
          <w:rFonts w:ascii="Courier New" w:hAnsi="Courier New" w:cs="Courier New"/>
          <w:sz w:val="24"/>
          <w:szCs w:val="24"/>
        </w:rPr>
      </w:pPr>
      <w:r w:rsidRPr="00736BD8">
        <w:rPr>
          <w:rFonts w:ascii="Courier New" w:hAnsi="Courier New" w:cs="Courier New"/>
          <w:sz w:val="24"/>
          <w:szCs w:val="24"/>
        </w:rPr>
        <w:t>2</w:t>
      </w:r>
      <w:r>
        <w:rPr>
          <w:rFonts w:ascii="Courier New" w:hAnsi="Courier New" w:cs="Courier New"/>
          <w:sz w:val="24"/>
          <w:szCs w:val="24"/>
        </w:rPr>
        <w:t>4</w:t>
      </w:r>
      <w:r w:rsidRPr="00736BD8">
        <w:rPr>
          <w:rFonts w:ascii="Courier New" w:hAnsi="Courier New" w:cs="Courier New"/>
          <w:sz w:val="24"/>
          <w:szCs w:val="24"/>
        </w:rPr>
        <w:t xml:space="preserve"> adet Emare’nin sunul</w:t>
      </w:r>
      <w:r>
        <w:rPr>
          <w:rFonts w:ascii="Courier New" w:hAnsi="Courier New" w:cs="Courier New"/>
          <w:sz w:val="24"/>
          <w:szCs w:val="24"/>
        </w:rPr>
        <w:t>duğu davanın dinlenmesi süresind</w:t>
      </w:r>
      <w:r w:rsidRPr="00736BD8">
        <w:rPr>
          <w:rFonts w:ascii="Courier New" w:hAnsi="Courier New" w:cs="Courier New"/>
          <w:sz w:val="24"/>
          <w:szCs w:val="24"/>
        </w:rPr>
        <w:t xml:space="preserve">e </w:t>
      </w:r>
      <w:r>
        <w:rPr>
          <w:rFonts w:ascii="Courier New" w:hAnsi="Courier New" w:cs="Courier New"/>
          <w:sz w:val="24"/>
          <w:szCs w:val="24"/>
        </w:rPr>
        <w:t>Müşterek Olgular:</w:t>
      </w:r>
    </w:p>
    <w:p w:rsidR="0035255C" w:rsidRPr="00736BD8" w:rsidRDefault="0035255C" w:rsidP="00736BD8">
      <w:pPr>
        <w:spacing w:line="240" w:lineRule="auto"/>
        <w:ind w:left="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736BD8">
        <w:rPr>
          <w:rFonts w:ascii="Courier New" w:hAnsi="Courier New" w:cs="Courier New"/>
          <w:sz w:val="24"/>
          <w:szCs w:val="24"/>
        </w:rPr>
        <w:t xml:space="preserve">Davacı, 30.8.1985 tarihinde Harp Okulundan mezun oldu. Aynı tarihte Güvenlik Kuvvetleri Komutanlığında </w:t>
      </w:r>
      <w:r w:rsidR="00184E4C">
        <w:rPr>
          <w:rFonts w:ascii="Courier New" w:hAnsi="Courier New" w:cs="Courier New"/>
          <w:sz w:val="24"/>
          <w:szCs w:val="24"/>
        </w:rPr>
        <w:t>m</w:t>
      </w:r>
      <w:r w:rsidRPr="00736BD8">
        <w:rPr>
          <w:rFonts w:ascii="Courier New" w:hAnsi="Courier New" w:cs="Courier New"/>
          <w:sz w:val="24"/>
          <w:szCs w:val="24"/>
        </w:rPr>
        <w:t>uazzaf</w:t>
      </w:r>
      <w:r>
        <w:rPr>
          <w:rFonts w:ascii="Courier New" w:hAnsi="Courier New" w:cs="Courier New"/>
          <w:sz w:val="24"/>
          <w:szCs w:val="24"/>
        </w:rPr>
        <w:t xml:space="preserve"> </w:t>
      </w:r>
      <w:r w:rsidR="00184E4C">
        <w:rPr>
          <w:rFonts w:ascii="Courier New" w:hAnsi="Courier New" w:cs="Courier New"/>
          <w:sz w:val="24"/>
          <w:szCs w:val="24"/>
        </w:rPr>
        <w:t>subay, t</w:t>
      </w:r>
      <w:r w:rsidRPr="00736BD8">
        <w:rPr>
          <w:rFonts w:ascii="Courier New" w:hAnsi="Courier New" w:cs="Courier New"/>
          <w:sz w:val="24"/>
          <w:szCs w:val="24"/>
        </w:rPr>
        <w:t xml:space="preserve">eğmen olarak göreve başladı. Sırası ile </w:t>
      </w:r>
      <w:r w:rsidR="00184E4C">
        <w:rPr>
          <w:rFonts w:ascii="Courier New" w:hAnsi="Courier New" w:cs="Courier New"/>
          <w:sz w:val="24"/>
          <w:szCs w:val="24"/>
        </w:rPr>
        <w:t>ü</w:t>
      </w:r>
      <w:r w:rsidRPr="00736BD8">
        <w:rPr>
          <w:rFonts w:ascii="Courier New" w:hAnsi="Courier New" w:cs="Courier New"/>
          <w:sz w:val="24"/>
          <w:szCs w:val="24"/>
        </w:rPr>
        <w:t xml:space="preserve">st </w:t>
      </w:r>
      <w:r w:rsidR="00184E4C">
        <w:rPr>
          <w:rFonts w:ascii="Courier New" w:hAnsi="Courier New" w:cs="Courier New"/>
          <w:sz w:val="24"/>
          <w:szCs w:val="24"/>
        </w:rPr>
        <w:t>t</w:t>
      </w:r>
      <w:r w:rsidRPr="00736BD8">
        <w:rPr>
          <w:rFonts w:ascii="Courier New" w:hAnsi="Courier New" w:cs="Courier New"/>
          <w:sz w:val="24"/>
          <w:szCs w:val="24"/>
        </w:rPr>
        <w:t xml:space="preserve">eğmen, </w:t>
      </w:r>
      <w:r w:rsidR="00184E4C">
        <w:rPr>
          <w:rFonts w:ascii="Courier New" w:hAnsi="Courier New" w:cs="Courier New"/>
          <w:sz w:val="24"/>
          <w:szCs w:val="24"/>
        </w:rPr>
        <w:t>y</w:t>
      </w:r>
      <w:r w:rsidRPr="00736BD8">
        <w:rPr>
          <w:rFonts w:ascii="Courier New" w:hAnsi="Courier New" w:cs="Courier New"/>
          <w:sz w:val="24"/>
          <w:szCs w:val="24"/>
        </w:rPr>
        <w:t xml:space="preserve">üzbaşı, </w:t>
      </w:r>
      <w:r w:rsidR="00184E4C">
        <w:rPr>
          <w:rFonts w:ascii="Courier New" w:hAnsi="Courier New" w:cs="Courier New"/>
          <w:sz w:val="24"/>
          <w:szCs w:val="24"/>
        </w:rPr>
        <w:t>b</w:t>
      </w:r>
      <w:r w:rsidRPr="00736BD8">
        <w:rPr>
          <w:rFonts w:ascii="Courier New" w:hAnsi="Courier New" w:cs="Courier New"/>
          <w:sz w:val="24"/>
          <w:szCs w:val="24"/>
        </w:rPr>
        <w:t xml:space="preserve">inbaşı, </w:t>
      </w:r>
      <w:r w:rsidR="00184E4C">
        <w:rPr>
          <w:rFonts w:ascii="Courier New" w:hAnsi="Courier New" w:cs="Courier New"/>
          <w:sz w:val="24"/>
          <w:szCs w:val="24"/>
        </w:rPr>
        <w:t>yarbay ve a</w:t>
      </w:r>
      <w:r w:rsidRPr="00736BD8">
        <w:rPr>
          <w:rFonts w:ascii="Courier New" w:hAnsi="Courier New" w:cs="Courier New"/>
          <w:sz w:val="24"/>
          <w:szCs w:val="24"/>
        </w:rPr>
        <w:t xml:space="preserve">lbay rütbelerinde görev aldı. </w:t>
      </w:r>
    </w:p>
    <w:p w:rsidR="0035255C" w:rsidRPr="00736BD8" w:rsidRDefault="00184E4C" w:rsidP="00736BD8">
      <w:pPr>
        <w:spacing w:line="240" w:lineRule="auto"/>
        <w:ind w:left="708" w:firstLine="708"/>
        <w:rPr>
          <w:rFonts w:ascii="Courier New" w:hAnsi="Courier New" w:cs="Courier New"/>
          <w:sz w:val="24"/>
          <w:szCs w:val="24"/>
        </w:rPr>
      </w:pPr>
      <w:r>
        <w:rPr>
          <w:rFonts w:ascii="Courier New" w:hAnsi="Courier New" w:cs="Courier New"/>
          <w:sz w:val="24"/>
          <w:szCs w:val="24"/>
        </w:rPr>
        <w:t>Davacı a</w:t>
      </w:r>
      <w:r w:rsidR="0035255C" w:rsidRPr="00736BD8">
        <w:rPr>
          <w:rFonts w:ascii="Courier New" w:hAnsi="Courier New" w:cs="Courier New"/>
          <w:sz w:val="24"/>
          <w:szCs w:val="24"/>
        </w:rPr>
        <w:t>lbay olarak 5 yıl çalıştıktan sonra Yüksek Değerlendirme Kurulu tarafından Güvenlik Kamu Görevlileri Yasası kapsamında en üst terfi makamı olan Güvenlik</w:t>
      </w:r>
      <w:r>
        <w:rPr>
          <w:rFonts w:ascii="Courier New" w:hAnsi="Courier New" w:cs="Courier New"/>
          <w:sz w:val="24"/>
          <w:szCs w:val="24"/>
        </w:rPr>
        <w:t xml:space="preserve"> Kuvvetleri Komutan Yardımcısı t</w:t>
      </w:r>
      <w:r w:rsidR="0035255C" w:rsidRPr="00736BD8">
        <w:rPr>
          <w:rFonts w:ascii="Courier New" w:hAnsi="Courier New" w:cs="Courier New"/>
          <w:sz w:val="24"/>
          <w:szCs w:val="24"/>
        </w:rPr>
        <w:t xml:space="preserve">uğgeneral kadrosuna 30.8.2010 tarihinde terfi ettirildi. </w:t>
      </w:r>
    </w:p>
    <w:p w:rsidR="0035255C" w:rsidRPr="00736BD8" w:rsidRDefault="0035255C" w:rsidP="00E25FB8">
      <w:pPr>
        <w:spacing w:line="240" w:lineRule="auto"/>
        <w:ind w:left="708" w:firstLine="708"/>
        <w:rPr>
          <w:rFonts w:ascii="Courier New" w:hAnsi="Courier New" w:cs="Courier New"/>
          <w:sz w:val="24"/>
          <w:szCs w:val="24"/>
        </w:rPr>
      </w:pPr>
      <w:r w:rsidRPr="00736BD8">
        <w:rPr>
          <w:rFonts w:ascii="Courier New" w:hAnsi="Courier New" w:cs="Courier New"/>
          <w:sz w:val="24"/>
          <w:szCs w:val="24"/>
        </w:rPr>
        <w:lastRenderedPageBreak/>
        <w:t>Davacı, Güvenlik Kamu Görevlileri Yasası</w:t>
      </w:r>
      <w:r w:rsidR="00184E4C">
        <w:rPr>
          <w:rFonts w:ascii="Courier New" w:hAnsi="Courier New" w:cs="Courier New"/>
          <w:sz w:val="24"/>
          <w:szCs w:val="24"/>
        </w:rPr>
        <w:t>’</w:t>
      </w:r>
      <w:r w:rsidRPr="00736BD8">
        <w:rPr>
          <w:rFonts w:ascii="Courier New" w:hAnsi="Courier New" w:cs="Courier New"/>
          <w:sz w:val="24"/>
          <w:szCs w:val="24"/>
        </w:rPr>
        <w:t>na göre</w:t>
      </w:r>
      <w:r w:rsidR="00184E4C">
        <w:rPr>
          <w:rFonts w:ascii="Courier New" w:hAnsi="Courier New" w:cs="Courier New"/>
          <w:sz w:val="24"/>
          <w:szCs w:val="24"/>
        </w:rPr>
        <w:t>,</w:t>
      </w:r>
      <w:r w:rsidRPr="00736BD8">
        <w:rPr>
          <w:rFonts w:ascii="Courier New" w:hAnsi="Courier New" w:cs="Courier New"/>
          <w:sz w:val="24"/>
          <w:szCs w:val="24"/>
        </w:rPr>
        <w:t xml:space="preserve"> </w:t>
      </w:r>
      <w:r w:rsidR="00184E4C">
        <w:rPr>
          <w:rFonts w:ascii="Courier New" w:hAnsi="Courier New" w:cs="Courier New"/>
          <w:sz w:val="24"/>
          <w:szCs w:val="24"/>
        </w:rPr>
        <w:t>t</w:t>
      </w:r>
      <w:r w:rsidRPr="00736BD8">
        <w:rPr>
          <w:rFonts w:ascii="Courier New" w:hAnsi="Courier New" w:cs="Courier New"/>
          <w:sz w:val="24"/>
          <w:szCs w:val="24"/>
        </w:rPr>
        <w:t>uğgeneral</w:t>
      </w:r>
      <w:r>
        <w:rPr>
          <w:rFonts w:ascii="Courier New" w:hAnsi="Courier New" w:cs="Courier New"/>
          <w:sz w:val="24"/>
          <w:szCs w:val="24"/>
        </w:rPr>
        <w:t xml:space="preserve"> </w:t>
      </w:r>
      <w:r w:rsidRPr="00736BD8">
        <w:rPr>
          <w:rFonts w:ascii="Courier New" w:hAnsi="Courier New" w:cs="Courier New"/>
          <w:sz w:val="24"/>
          <w:szCs w:val="24"/>
        </w:rPr>
        <w:t xml:space="preserve">rütbesinde bekleme süresi iki yıl olduğundan iki yıllık bekleme süresi sonunda </w:t>
      </w:r>
      <w:r w:rsidR="00184E4C">
        <w:rPr>
          <w:rFonts w:ascii="Courier New" w:hAnsi="Courier New" w:cs="Courier New"/>
          <w:sz w:val="24"/>
          <w:szCs w:val="24"/>
        </w:rPr>
        <w:t>t</w:t>
      </w:r>
      <w:r w:rsidRPr="00736BD8">
        <w:rPr>
          <w:rFonts w:ascii="Courier New" w:hAnsi="Courier New" w:cs="Courier New"/>
          <w:sz w:val="24"/>
          <w:szCs w:val="24"/>
        </w:rPr>
        <w:t>uğg</w:t>
      </w:r>
      <w:r w:rsidR="00184E4C">
        <w:rPr>
          <w:rFonts w:ascii="Courier New" w:hAnsi="Courier New" w:cs="Courier New"/>
          <w:sz w:val="24"/>
          <w:szCs w:val="24"/>
        </w:rPr>
        <w:t>enerallikt</w:t>
      </w:r>
      <w:r w:rsidRPr="00736BD8">
        <w:rPr>
          <w:rFonts w:ascii="Courier New" w:hAnsi="Courier New" w:cs="Courier New"/>
          <w:sz w:val="24"/>
          <w:szCs w:val="24"/>
        </w:rPr>
        <w:t xml:space="preserve">e bekleme süresi bir defaya mahsus olmak üzere bir yıl süre ile uzatılabildiğinden Yüksek Değerlendirme Kurulu kararı ile </w:t>
      </w:r>
      <w:r w:rsidR="00184E4C">
        <w:rPr>
          <w:rFonts w:ascii="Courier New" w:hAnsi="Courier New" w:cs="Courier New"/>
          <w:sz w:val="24"/>
          <w:szCs w:val="24"/>
        </w:rPr>
        <w:t>t</w:t>
      </w:r>
      <w:r w:rsidRPr="00736BD8">
        <w:rPr>
          <w:rFonts w:ascii="Courier New" w:hAnsi="Courier New" w:cs="Courier New"/>
          <w:sz w:val="24"/>
          <w:szCs w:val="24"/>
        </w:rPr>
        <w:t>uğgenerallik</w:t>
      </w:r>
      <w:r w:rsidR="00184E4C">
        <w:rPr>
          <w:rFonts w:ascii="Courier New" w:hAnsi="Courier New" w:cs="Courier New"/>
          <w:sz w:val="24"/>
          <w:szCs w:val="24"/>
        </w:rPr>
        <w:t>t</w:t>
      </w:r>
      <w:r w:rsidRPr="00736BD8">
        <w:rPr>
          <w:rFonts w:ascii="Courier New" w:hAnsi="Courier New" w:cs="Courier New"/>
          <w:sz w:val="24"/>
          <w:szCs w:val="24"/>
        </w:rPr>
        <w:t xml:space="preserve">e bekleme süresi bir yıl uzatıldı. </w:t>
      </w:r>
    </w:p>
    <w:p w:rsidR="0035255C" w:rsidRPr="00736BD8" w:rsidRDefault="00184E4C" w:rsidP="00736BD8">
      <w:pPr>
        <w:spacing w:line="240" w:lineRule="auto"/>
        <w:ind w:left="708" w:firstLine="708"/>
        <w:rPr>
          <w:rFonts w:ascii="Courier New" w:hAnsi="Courier New" w:cs="Courier New"/>
          <w:sz w:val="24"/>
          <w:szCs w:val="24"/>
        </w:rPr>
      </w:pPr>
      <w:r>
        <w:rPr>
          <w:rFonts w:ascii="Courier New" w:hAnsi="Courier New" w:cs="Courier New"/>
          <w:sz w:val="24"/>
          <w:szCs w:val="24"/>
        </w:rPr>
        <w:t>Davacı, albaylığının birinci yılında B</w:t>
      </w:r>
      <w:r w:rsidR="0035255C" w:rsidRPr="00736BD8">
        <w:rPr>
          <w:rFonts w:ascii="Courier New" w:hAnsi="Courier New" w:cs="Courier New"/>
          <w:sz w:val="24"/>
          <w:szCs w:val="24"/>
        </w:rPr>
        <w:t>arem 19’un 1’inci</w:t>
      </w:r>
      <w:r w:rsidR="0035255C">
        <w:rPr>
          <w:rFonts w:ascii="Courier New" w:hAnsi="Courier New" w:cs="Courier New"/>
          <w:sz w:val="24"/>
          <w:szCs w:val="24"/>
        </w:rPr>
        <w:t xml:space="preserve"> </w:t>
      </w:r>
      <w:r w:rsidR="0035255C" w:rsidRPr="00736BD8">
        <w:rPr>
          <w:rFonts w:ascii="Courier New" w:hAnsi="Courier New" w:cs="Courier New"/>
          <w:sz w:val="24"/>
          <w:szCs w:val="24"/>
        </w:rPr>
        <w:t xml:space="preserve">basamağından maaş almaya başlayarak </w:t>
      </w:r>
      <w:r>
        <w:rPr>
          <w:rFonts w:ascii="Courier New" w:hAnsi="Courier New" w:cs="Courier New"/>
          <w:sz w:val="24"/>
          <w:szCs w:val="24"/>
        </w:rPr>
        <w:t>albaylığının 5’inci yılında B</w:t>
      </w:r>
      <w:r w:rsidR="0035255C" w:rsidRPr="00736BD8">
        <w:rPr>
          <w:rFonts w:ascii="Courier New" w:hAnsi="Courier New" w:cs="Courier New"/>
          <w:sz w:val="24"/>
          <w:szCs w:val="24"/>
        </w:rPr>
        <w:t>arem 19’un 5’inci kademesinden maaş çektikten sonra</w:t>
      </w:r>
      <w:r>
        <w:rPr>
          <w:rFonts w:ascii="Courier New" w:hAnsi="Courier New" w:cs="Courier New"/>
          <w:sz w:val="24"/>
          <w:szCs w:val="24"/>
        </w:rPr>
        <w:t>,</w:t>
      </w:r>
      <w:r w:rsidR="0035255C" w:rsidRPr="00736BD8">
        <w:rPr>
          <w:rFonts w:ascii="Courier New" w:hAnsi="Courier New" w:cs="Courier New"/>
          <w:sz w:val="24"/>
          <w:szCs w:val="24"/>
        </w:rPr>
        <w:t xml:space="preserve"> </w:t>
      </w:r>
      <w:r>
        <w:rPr>
          <w:rFonts w:ascii="Courier New" w:hAnsi="Courier New" w:cs="Courier New"/>
          <w:sz w:val="24"/>
          <w:szCs w:val="24"/>
        </w:rPr>
        <w:t>t</w:t>
      </w:r>
      <w:r w:rsidR="0035255C" w:rsidRPr="00736BD8">
        <w:rPr>
          <w:rFonts w:ascii="Courier New" w:hAnsi="Courier New" w:cs="Courier New"/>
          <w:sz w:val="24"/>
          <w:szCs w:val="24"/>
        </w:rPr>
        <w:t xml:space="preserve">uğgeneral kadrosuna atanmasının birinci yılında </w:t>
      </w:r>
      <w:r>
        <w:rPr>
          <w:rFonts w:ascii="Courier New" w:hAnsi="Courier New" w:cs="Courier New"/>
          <w:sz w:val="24"/>
          <w:szCs w:val="24"/>
        </w:rPr>
        <w:t>B</w:t>
      </w:r>
      <w:r w:rsidR="0035255C" w:rsidRPr="00736BD8">
        <w:rPr>
          <w:rFonts w:ascii="Courier New" w:hAnsi="Courier New" w:cs="Courier New"/>
          <w:sz w:val="24"/>
          <w:szCs w:val="24"/>
        </w:rPr>
        <w:t xml:space="preserve">arem 19’un 6’ncı kademesinden, </w:t>
      </w:r>
      <w:r>
        <w:rPr>
          <w:rFonts w:ascii="Courier New" w:hAnsi="Courier New" w:cs="Courier New"/>
          <w:sz w:val="24"/>
          <w:szCs w:val="24"/>
        </w:rPr>
        <w:t>t</w:t>
      </w:r>
      <w:r w:rsidR="0035255C" w:rsidRPr="00736BD8">
        <w:rPr>
          <w:rFonts w:ascii="Courier New" w:hAnsi="Courier New" w:cs="Courier New"/>
          <w:sz w:val="24"/>
          <w:szCs w:val="24"/>
        </w:rPr>
        <w:t xml:space="preserve">uğgeneralliğin ikinci yılında Barem 19’un 7’nci kademesinden maaş çekti. Tuğgeneralin çekebileceği son kademe 7’nci kademe olduğundan Davacı, </w:t>
      </w:r>
      <w:r>
        <w:rPr>
          <w:rFonts w:ascii="Courier New" w:hAnsi="Courier New" w:cs="Courier New"/>
          <w:sz w:val="24"/>
          <w:szCs w:val="24"/>
        </w:rPr>
        <w:t>t</w:t>
      </w:r>
      <w:r w:rsidR="0035255C" w:rsidRPr="00736BD8">
        <w:rPr>
          <w:rFonts w:ascii="Courier New" w:hAnsi="Courier New" w:cs="Courier New"/>
          <w:sz w:val="24"/>
          <w:szCs w:val="24"/>
        </w:rPr>
        <w:t xml:space="preserve">uğgeneralliğinin üçüncü yılında da </w:t>
      </w:r>
      <w:r>
        <w:rPr>
          <w:rFonts w:ascii="Courier New" w:hAnsi="Courier New" w:cs="Courier New"/>
          <w:sz w:val="24"/>
          <w:szCs w:val="24"/>
        </w:rPr>
        <w:t>B</w:t>
      </w:r>
      <w:r w:rsidR="0035255C" w:rsidRPr="00736BD8">
        <w:rPr>
          <w:rFonts w:ascii="Courier New" w:hAnsi="Courier New" w:cs="Courier New"/>
          <w:sz w:val="24"/>
          <w:szCs w:val="24"/>
        </w:rPr>
        <w:t>arem 19’un 7’nci kademesinden maaş çekti. Davacıya</w:t>
      </w:r>
      <w:r>
        <w:rPr>
          <w:rFonts w:ascii="Courier New" w:hAnsi="Courier New" w:cs="Courier New"/>
          <w:sz w:val="24"/>
          <w:szCs w:val="24"/>
        </w:rPr>
        <w:t>,</w:t>
      </w:r>
      <w:r w:rsidR="0035255C" w:rsidRPr="00736BD8">
        <w:rPr>
          <w:rFonts w:ascii="Courier New" w:hAnsi="Courier New" w:cs="Courier New"/>
          <w:sz w:val="24"/>
          <w:szCs w:val="24"/>
        </w:rPr>
        <w:t xml:space="preserve"> </w:t>
      </w:r>
      <w:r>
        <w:rPr>
          <w:rFonts w:ascii="Courier New" w:hAnsi="Courier New" w:cs="Courier New"/>
          <w:sz w:val="24"/>
          <w:szCs w:val="24"/>
        </w:rPr>
        <w:t>t</w:t>
      </w:r>
      <w:r w:rsidR="0035255C" w:rsidRPr="00736BD8">
        <w:rPr>
          <w:rFonts w:ascii="Courier New" w:hAnsi="Courier New" w:cs="Courier New"/>
          <w:sz w:val="24"/>
          <w:szCs w:val="24"/>
        </w:rPr>
        <w:t>uğgeneral olarak görev yaptığı süre içinde</w:t>
      </w:r>
      <w:r>
        <w:rPr>
          <w:rFonts w:ascii="Courier New" w:hAnsi="Courier New" w:cs="Courier New"/>
          <w:sz w:val="24"/>
          <w:szCs w:val="24"/>
        </w:rPr>
        <w:t>,</w:t>
      </w:r>
      <w:r w:rsidR="0035255C" w:rsidRPr="00736BD8">
        <w:rPr>
          <w:rFonts w:ascii="Courier New" w:hAnsi="Courier New" w:cs="Courier New"/>
          <w:sz w:val="24"/>
          <w:szCs w:val="24"/>
        </w:rPr>
        <w:t xml:space="preserve"> maaşının %15’i oranında generallik ödeneği verildi. Verilen bu ödenek vergiye tabi olmadığından Davacıdan bu ödenekle ilg</w:t>
      </w:r>
      <w:r w:rsidR="005F4FBE">
        <w:rPr>
          <w:rFonts w:ascii="Courier New" w:hAnsi="Courier New" w:cs="Courier New"/>
          <w:sz w:val="24"/>
          <w:szCs w:val="24"/>
        </w:rPr>
        <w:t>ili vergi alınmadı. Generallik Ö</w:t>
      </w:r>
      <w:r w:rsidR="0035255C" w:rsidRPr="00736BD8">
        <w:rPr>
          <w:rFonts w:ascii="Courier New" w:hAnsi="Courier New" w:cs="Courier New"/>
          <w:sz w:val="24"/>
          <w:szCs w:val="24"/>
        </w:rPr>
        <w:t>deneği, Hazine ve Muhasebe Dairesi tarafından hazırlanan memur/maaş bo</w:t>
      </w:r>
      <w:r w:rsidR="0035255C">
        <w:rPr>
          <w:rFonts w:ascii="Courier New" w:hAnsi="Courier New" w:cs="Courier New"/>
          <w:sz w:val="24"/>
          <w:szCs w:val="24"/>
        </w:rPr>
        <w:t>r</w:t>
      </w:r>
      <w:r w:rsidR="0035255C" w:rsidRPr="00736BD8">
        <w:rPr>
          <w:rFonts w:ascii="Courier New" w:hAnsi="Courier New" w:cs="Courier New"/>
          <w:sz w:val="24"/>
          <w:szCs w:val="24"/>
        </w:rPr>
        <w:t>dro</w:t>
      </w:r>
      <w:r w:rsidR="0035255C">
        <w:rPr>
          <w:rFonts w:ascii="Courier New" w:hAnsi="Courier New" w:cs="Courier New"/>
          <w:sz w:val="24"/>
          <w:szCs w:val="24"/>
        </w:rPr>
        <w:t>s</w:t>
      </w:r>
      <w:r w:rsidR="0035255C" w:rsidRPr="00736BD8">
        <w:rPr>
          <w:rFonts w:ascii="Courier New" w:hAnsi="Courier New" w:cs="Courier New"/>
          <w:sz w:val="24"/>
          <w:szCs w:val="24"/>
        </w:rPr>
        <w:t>unda Kod 6 olarak gösterildi.</w:t>
      </w:r>
    </w:p>
    <w:p w:rsidR="0035255C" w:rsidRPr="00736BD8" w:rsidRDefault="0035255C" w:rsidP="00736BD8">
      <w:pPr>
        <w:spacing w:line="240" w:lineRule="auto"/>
        <w:ind w:left="708" w:firstLine="708"/>
        <w:rPr>
          <w:rFonts w:ascii="Courier New" w:hAnsi="Courier New" w:cs="Courier New"/>
          <w:sz w:val="24"/>
          <w:szCs w:val="24"/>
        </w:rPr>
      </w:pPr>
      <w:r w:rsidRPr="00736BD8">
        <w:rPr>
          <w:rFonts w:ascii="Courier New" w:hAnsi="Courier New" w:cs="Courier New"/>
          <w:sz w:val="24"/>
          <w:szCs w:val="24"/>
        </w:rPr>
        <w:t xml:space="preserve">Davacı, Güvenlik Kuvvetleri Komutan Yardımcısı </w:t>
      </w:r>
      <w:r w:rsidR="005F4FBE">
        <w:rPr>
          <w:rFonts w:ascii="Courier New" w:hAnsi="Courier New" w:cs="Courier New"/>
          <w:sz w:val="24"/>
          <w:szCs w:val="24"/>
        </w:rPr>
        <w:t>t</w:t>
      </w:r>
      <w:r w:rsidRPr="00736BD8">
        <w:rPr>
          <w:rFonts w:ascii="Courier New" w:hAnsi="Courier New" w:cs="Courier New"/>
          <w:sz w:val="24"/>
          <w:szCs w:val="24"/>
        </w:rPr>
        <w:t>uğgeneral iken,</w:t>
      </w:r>
      <w:r w:rsidR="005F4FBE">
        <w:rPr>
          <w:rFonts w:ascii="Courier New" w:hAnsi="Courier New" w:cs="Courier New"/>
          <w:sz w:val="24"/>
          <w:szCs w:val="24"/>
        </w:rPr>
        <w:t xml:space="preserve"> bir yıl süre ile uzatılabilen tuğgenerallikt</w:t>
      </w:r>
      <w:r w:rsidRPr="00736BD8">
        <w:rPr>
          <w:rFonts w:ascii="Courier New" w:hAnsi="Courier New" w:cs="Courier New"/>
          <w:sz w:val="24"/>
          <w:szCs w:val="24"/>
        </w:rPr>
        <w:t xml:space="preserve">e bekleme süresi dolduğundan, Yüksek Değerlendirme Kurulu kararı ile üç yıl süre ile yürüttüğü Güvenlik Kuvvetleri Komutan Yardımcısı </w:t>
      </w:r>
      <w:r w:rsidR="005F4FBE">
        <w:rPr>
          <w:rFonts w:ascii="Courier New" w:hAnsi="Courier New" w:cs="Courier New"/>
          <w:sz w:val="24"/>
          <w:szCs w:val="24"/>
        </w:rPr>
        <w:t>t</w:t>
      </w:r>
      <w:r w:rsidRPr="00736BD8">
        <w:rPr>
          <w:rFonts w:ascii="Courier New" w:hAnsi="Courier New" w:cs="Courier New"/>
          <w:sz w:val="24"/>
          <w:szCs w:val="24"/>
        </w:rPr>
        <w:t>uğgeneral kadrosundan 30.8.2013 tarihinde kadrosuzluktan emekliye sevkedildi.</w:t>
      </w:r>
    </w:p>
    <w:p w:rsidR="0035255C" w:rsidRPr="00736BD8" w:rsidRDefault="0035255C" w:rsidP="00736BD8">
      <w:pPr>
        <w:spacing w:line="240" w:lineRule="auto"/>
        <w:ind w:left="708" w:firstLine="708"/>
        <w:rPr>
          <w:rFonts w:ascii="Courier New" w:hAnsi="Courier New" w:cs="Courier New"/>
          <w:sz w:val="24"/>
          <w:szCs w:val="24"/>
        </w:rPr>
      </w:pPr>
      <w:r w:rsidRPr="00736BD8">
        <w:rPr>
          <w:rFonts w:ascii="Courier New" w:hAnsi="Courier New" w:cs="Courier New"/>
          <w:sz w:val="24"/>
          <w:szCs w:val="24"/>
        </w:rPr>
        <w:t>Davalı, Davacının emeklilik maaş ve ikramiyesini hesaplarken, Dav</w:t>
      </w:r>
      <w:r w:rsidR="005F4FBE">
        <w:rPr>
          <w:rFonts w:ascii="Courier New" w:hAnsi="Courier New" w:cs="Courier New"/>
          <w:sz w:val="24"/>
          <w:szCs w:val="24"/>
        </w:rPr>
        <w:t>acının çalışırken almış olduğu G</w:t>
      </w:r>
      <w:r w:rsidRPr="00736BD8">
        <w:rPr>
          <w:rFonts w:ascii="Courier New" w:hAnsi="Courier New" w:cs="Courier New"/>
          <w:sz w:val="24"/>
          <w:szCs w:val="24"/>
        </w:rPr>
        <w:t xml:space="preserve">enerallik </w:t>
      </w:r>
      <w:r w:rsidR="005F4FBE">
        <w:rPr>
          <w:rFonts w:ascii="Courier New" w:hAnsi="Courier New" w:cs="Courier New"/>
          <w:sz w:val="24"/>
          <w:szCs w:val="24"/>
        </w:rPr>
        <w:t>Ö</w:t>
      </w:r>
      <w:r w:rsidRPr="00736BD8">
        <w:rPr>
          <w:rFonts w:ascii="Courier New" w:hAnsi="Courier New" w:cs="Courier New"/>
          <w:sz w:val="24"/>
          <w:szCs w:val="24"/>
        </w:rPr>
        <w:t>deneğini dikkâte almadı.</w:t>
      </w:r>
    </w:p>
    <w:p w:rsidR="0035255C" w:rsidRPr="00736BD8" w:rsidRDefault="0035255C" w:rsidP="00736BD8">
      <w:pPr>
        <w:spacing w:line="240" w:lineRule="auto"/>
        <w:ind w:left="708" w:firstLine="708"/>
        <w:rPr>
          <w:rFonts w:ascii="Courier New" w:hAnsi="Courier New" w:cs="Courier New"/>
          <w:sz w:val="24"/>
          <w:szCs w:val="24"/>
        </w:rPr>
      </w:pPr>
      <w:r w:rsidRPr="00736BD8">
        <w:rPr>
          <w:rFonts w:ascii="Courier New" w:hAnsi="Courier New" w:cs="Courier New"/>
          <w:sz w:val="24"/>
          <w:szCs w:val="24"/>
        </w:rPr>
        <w:t>Davacı, 9.10.2013 tarihinde Hazine ve Muhasebe Dairesinin verdiği yazılı dilekçede</w:t>
      </w:r>
      <w:r w:rsidR="005F4FBE">
        <w:rPr>
          <w:rFonts w:ascii="Courier New" w:hAnsi="Courier New" w:cs="Courier New"/>
          <w:sz w:val="24"/>
          <w:szCs w:val="24"/>
        </w:rPr>
        <w:t>, G</w:t>
      </w:r>
      <w:r w:rsidRPr="00736BD8">
        <w:rPr>
          <w:rFonts w:ascii="Courier New" w:hAnsi="Courier New" w:cs="Courier New"/>
          <w:sz w:val="24"/>
          <w:szCs w:val="24"/>
        </w:rPr>
        <w:t xml:space="preserve">enerallik </w:t>
      </w:r>
      <w:r w:rsidR="005F4FBE">
        <w:rPr>
          <w:rFonts w:ascii="Courier New" w:hAnsi="Courier New" w:cs="Courier New"/>
          <w:sz w:val="24"/>
          <w:szCs w:val="24"/>
        </w:rPr>
        <w:t>Ö</w:t>
      </w:r>
      <w:r w:rsidRPr="00736BD8">
        <w:rPr>
          <w:rFonts w:ascii="Courier New" w:hAnsi="Courier New" w:cs="Courier New"/>
          <w:sz w:val="24"/>
          <w:szCs w:val="24"/>
        </w:rPr>
        <w:t>deneğinin emeklilik maaş ve ikramiyesinin hesaplanmasında dikkâte alınmamasını kabul etmediğini belirtti.</w:t>
      </w:r>
    </w:p>
    <w:p w:rsidR="0035255C" w:rsidRPr="00736BD8" w:rsidRDefault="0035255C" w:rsidP="00736BD8">
      <w:pPr>
        <w:spacing w:line="240" w:lineRule="auto"/>
        <w:ind w:left="708" w:firstLine="708"/>
        <w:rPr>
          <w:rFonts w:ascii="Courier New" w:hAnsi="Courier New" w:cs="Courier New"/>
          <w:sz w:val="24"/>
          <w:szCs w:val="24"/>
        </w:rPr>
      </w:pPr>
      <w:r w:rsidRPr="00736BD8">
        <w:rPr>
          <w:rFonts w:ascii="Courier New" w:hAnsi="Courier New" w:cs="Courier New"/>
          <w:sz w:val="24"/>
          <w:szCs w:val="24"/>
        </w:rPr>
        <w:t>Davacı, Maliye Bakanlığından avans olarak aldığı 150,000</w:t>
      </w:r>
      <w:r w:rsidR="005F4FBE">
        <w:rPr>
          <w:rFonts w:ascii="Courier New" w:hAnsi="Courier New" w:cs="Courier New"/>
          <w:sz w:val="24"/>
          <w:szCs w:val="24"/>
        </w:rPr>
        <w:t xml:space="preserve"> </w:t>
      </w:r>
      <w:r w:rsidRPr="00736BD8">
        <w:rPr>
          <w:rFonts w:ascii="Courier New" w:hAnsi="Courier New" w:cs="Courier New"/>
          <w:sz w:val="24"/>
          <w:szCs w:val="24"/>
        </w:rPr>
        <w:t xml:space="preserve">Türk Lirası tutarındaki emekli ikramiyesinden mütebaki olan emekli ikramiyesi çekini yasal haklarını saklı tutarak aldığını, emeklilik dosyasındaki ilgili belge üzerinde de yazılı olarak belirtti. </w:t>
      </w:r>
    </w:p>
    <w:p w:rsidR="0035255C" w:rsidRDefault="0035255C" w:rsidP="00736BD8">
      <w:pPr>
        <w:spacing w:line="240" w:lineRule="auto"/>
        <w:ind w:left="708" w:firstLine="708"/>
        <w:rPr>
          <w:rFonts w:ascii="Courier New" w:hAnsi="Courier New" w:cs="Courier New"/>
          <w:sz w:val="24"/>
          <w:szCs w:val="24"/>
        </w:rPr>
      </w:pPr>
      <w:r w:rsidRPr="00736BD8">
        <w:rPr>
          <w:rFonts w:ascii="Courier New" w:hAnsi="Courier New" w:cs="Courier New"/>
          <w:sz w:val="24"/>
          <w:szCs w:val="24"/>
        </w:rPr>
        <w:t>Davacıya yapılan uygulamanın Güvenlik Kuvvetleri Komutanlığı tarafından öğrenilmesi üzerine, Güvenlik Kuvvetleri Komutanı Başsavcılığa 23.10.2013 tarihinde yazılı müracaatta bulundu. Başsavcılık bu müracaata 1.11.2013 tarihinde yazılı yanıt verdi.</w:t>
      </w:r>
      <w:r>
        <w:rPr>
          <w:rFonts w:ascii="Courier New" w:hAnsi="Courier New" w:cs="Courier New"/>
          <w:sz w:val="24"/>
          <w:szCs w:val="24"/>
        </w:rPr>
        <w:t>“</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lastRenderedPageBreak/>
        <w:t>şeklinde belirtildikten sonra, Davacı tarafı, Davacı Mehmet Soğancı’ya şahadet verdirmiş, Davalı tarafı ise tanık dinlet-memiştir.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Davacının tanık olarak dinlendiği süreçte</w:t>
      </w:r>
      <w:r w:rsidR="005F4FBE">
        <w:rPr>
          <w:rFonts w:ascii="Courier New" w:hAnsi="Courier New" w:cs="Courier New"/>
          <w:sz w:val="24"/>
          <w:szCs w:val="24"/>
        </w:rPr>
        <w:t>,</w:t>
      </w:r>
      <w:r>
        <w:rPr>
          <w:rFonts w:ascii="Courier New" w:hAnsi="Courier New" w:cs="Courier New"/>
          <w:sz w:val="24"/>
          <w:szCs w:val="24"/>
        </w:rPr>
        <w:t xml:space="preserve"> </w:t>
      </w:r>
      <w:r w:rsidR="005F4FBE">
        <w:rPr>
          <w:rFonts w:ascii="Courier New" w:hAnsi="Courier New" w:cs="Courier New"/>
          <w:sz w:val="24"/>
          <w:szCs w:val="24"/>
        </w:rPr>
        <w:t>Talep Takriri</w:t>
      </w:r>
      <w:r>
        <w:rPr>
          <w:rFonts w:ascii="Courier New" w:hAnsi="Courier New" w:cs="Courier New"/>
          <w:sz w:val="24"/>
          <w:szCs w:val="24"/>
        </w:rPr>
        <w:t>nin (B) ve (C) paragraflarındaki talepler geri çekildiğinden, bu davadaki inceleme, yalnızca Talep Takririnin (A) paragrafındaki taleple sınırlı olarak yapılacaktır.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Bu yaklaşımla Davacı tarafın bütün argümanları incelendiğinde, temel talep ve iddianın, ”Generallik Ödeneğinin“, yorum yoluyla, ”Makam Ödeneği“ kapsamına sokulması ve sonrasında</w:t>
      </w:r>
      <w:r w:rsidR="003D7F7F">
        <w:rPr>
          <w:rFonts w:ascii="Courier New" w:hAnsi="Courier New" w:cs="Courier New"/>
          <w:sz w:val="24"/>
          <w:szCs w:val="24"/>
        </w:rPr>
        <w:t xml:space="preserve"> bu ödeneğin</w:t>
      </w:r>
      <w:r>
        <w:rPr>
          <w:rFonts w:ascii="Courier New" w:hAnsi="Courier New" w:cs="Courier New"/>
          <w:sz w:val="24"/>
          <w:szCs w:val="24"/>
        </w:rPr>
        <w:t xml:space="preserve"> de dikkâte alınarak Davacının emeklilik menfaatlerinin hesaplanması boyutunda olduğu görülmektedir. </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Davacı tarafın, kendi talebi doğrultusunda yorumlanmasını istediği  Değiştirilmiş Şekliyle 15/1979 Sayılı Yasa’nın 48(A) maddesi dava konusu kararın alındığı tarihte:</w:t>
      </w:r>
    </w:p>
    <w:tbl>
      <w:tblPr>
        <w:tblW w:w="0" w:type="auto"/>
        <w:tblInd w:w="-106" w:type="dxa"/>
        <w:tblLayout w:type="fixed"/>
        <w:tblLook w:val="01E0"/>
      </w:tblPr>
      <w:tblGrid>
        <w:gridCol w:w="2520"/>
        <w:gridCol w:w="745"/>
        <w:gridCol w:w="695"/>
        <w:gridCol w:w="5144"/>
      </w:tblGrid>
      <w:tr w:rsidR="0035255C" w:rsidRPr="001A770D">
        <w:tc>
          <w:tcPr>
            <w:tcW w:w="2520"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”Tuğgeneralliğe     Terfi ve Ödeneği</w:t>
            </w:r>
          </w:p>
        </w:tc>
        <w:tc>
          <w:tcPr>
            <w:tcW w:w="745"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48A.</w:t>
            </w:r>
          </w:p>
        </w:tc>
        <w:tc>
          <w:tcPr>
            <w:tcW w:w="695"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(1)</w:t>
            </w:r>
          </w:p>
        </w:tc>
        <w:tc>
          <w:tcPr>
            <w:tcW w:w="5144" w:type="dxa"/>
          </w:tcPr>
          <w:p w:rsidR="0035255C" w:rsidRPr="00554AA2" w:rsidRDefault="0035255C" w:rsidP="003D7F7F">
            <w:pPr>
              <w:spacing w:line="240" w:lineRule="auto"/>
              <w:rPr>
                <w:rFonts w:ascii="Courier New" w:hAnsi="Courier New" w:cs="Courier New"/>
              </w:rPr>
            </w:pPr>
            <w:r w:rsidRPr="00554AA2">
              <w:rPr>
                <w:rFonts w:ascii="Courier New" w:hAnsi="Courier New" w:cs="Courier New"/>
              </w:rPr>
              <w:t>Tuğgeneral rütbesine terfi edecek albay, Cumhurbaşkanı, Başbakan</w:t>
            </w:r>
            <w:r w:rsidR="003D7F7F">
              <w:rPr>
                <w:rFonts w:ascii="Courier New" w:hAnsi="Courier New" w:cs="Courier New"/>
              </w:rPr>
              <w:t>,</w:t>
            </w:r>
            <w:r w:rsidRPr="00554AA2">
              <w:rPr>
                <w:rFonts w:ascii="Courier New" w:hAnsi="Courier New" w:cs="Courier New"/>
              </w:rPr>
              <w:t xml:space="preserve"> Güvenlik Kuvvetleri Komutanı ve Güvenlik Kuvvetleri Komutan Yardımcısından oluşan Yüksek Değerlendirme Kurulu tarafından seçilir. Yüksek Değerlendirme Kurulu Ağustos aynının ilk mesai günü toplanır.</w:t>
            </w:r>
          </w:p>
        </w:tc>
      </w:tr>
      <w:tr w:rsidR="0035255C" w:rsidRPr="001A770D">
        <w:tc>
          <w:tcPr>
            <w:tcW w:w="2520" w:type="dxa"/>
          </w:tcPr>
          <w:p w:rsidR="0035255C" w:rsidRPr="00554AA2" w:rsidRDefault="0035255C" w:rsidP="00554AA2">
            <w:pPr>
              <w:spacing w:line="240" w:lineRule="auto"/>
              <w:rPr>
                <w:rFonts w:ascii="Courier New" w:hAnsi="Courier New" w:cs="Courier New"/>
              </w:rPr>
            </w:pPr>
          </w:p>
        </w:tc>
        <w:tc>
          <w:tcPr>
            <w:tcW w:w="745" w:type="dxa"/>
          </w:tcPr>
          <w:p w:rsidR="0035255C" w:rsidRPr="00554AA2" w:rsidRDefault="0035255C" w:rsidP="00554AA2">
            <w:pPr>
              <w:spacing w:line="240" w:lineRule="auto"/>
              <w:rPr>
                <w:rFonts w:ascii="Courier New" w:hAnsi="Courier New" w:cs="Courier New"/>
              </w:rPr>
            </w:pPr>
          </w:p>
        </w:tc>
        <w:tc>
          <w:tcPr>
            <w:tcW w:w="695"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(2)</w:t>
            </w:r>
          </w:p>
        </w:tc>
        <w:tc>
          <w:tcPr>
            <w:tcW w:w="5144"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Tuğgeneral kontenjan sayısı bir olup, terfisi 30 Ağustos tarihinden itibaren geçerli olur.</w:t>
            </w:r>
          </w:p>
        </w:tc>
      </w:tr>
      <w:tr w:rsidR="0035255C" w:rsidRPr="001A770D">
        <w:tc>
          <w:tcPr>
            <w:tcW w:w="2520" w:type="dxa"/>
          </w:tcPr>
          <w:p w:rsidR="0035255C" w:rsidRPr="00554AA2" w:rsidRDefault="0035255C" w:rsidP="00554AA2">
            <w:pPr>
              <w:spacing w:line="240" w:lineRule="auto"/>
              <w:rPr>
                <w:rFonts w:ascii="Courier New" w:hAnsi="Courier New" w:cs="Courier New"/>
              </w:rPr>
            </w:pPr>
          </w:p>
        </w:tc>
        <w:tc>
          <w:tcPr>
            <w:tcW w:w="745" w:type="dxa"/>
          </w:tcPr>
          <w:p w:rsidR="0035255C" w:rsidRPr="00554AA2" w:rsidRDefault="0035255C" w:rsidP="00554AA2">
            <w:pPr>
              <w:spacing w:line="240" w:lineRule="auto"/>
              <w:rPr>
                <w:rFonts w:ascii="Courier New" w:hAnsi="Courier New" w:cs="Courier New"/>
              </w:rPr>
            </w:pPr>
          </w:p>
        </w:tc>
        <w:tc>
          <w:tcPr>
            <w:tcW w:w="695"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(3)</w:t>
            </w:r>
          </w:p>
        </w:tc>
        <w:tc>
          <w:tcPr>
            <w:tcW w:w="5144" w:type="dxa"/>
          </w:tcPr>
          <w:p w:rsidR="0035255C" w:rsidRPr="00554AA2" w:rsidRDefault="0035255C" w:rsidP="003D7F7F">
            <w:pPr>
              <w:spacing w:line="240" w:lineRule="auto"/>
              <w:rPr>
                <w:rFonts w:ascii="Courier New" w:hAnsi="Courier New" w:cs="Courier New"/>
              </w:rPr>
            </w:pPr>
            <w:r w:rsidRPr="00554AA2">
              <w:rPr>
                <w:rFonts w:ascii="Courier New" w:hAnsi="Courier New" w:cs="Courier New"/>
              </w:rPr>
              <w:t>Tuğgenerale, tuğgeneralliğe terfi sırasındaki maaşının %15’i oranında generallik ödeneği verilir. Bu ödenek vergiye tabi değildir.“</w:t>
            </w:r>
          </w:p>
        </w:tc>
      </w:tr>
    </w:tbl>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şeklinde idi.</w:t>
      </w:r>
    </w:p>
    <w:p w:rsidR="0035255C" w:rsidRDefault="0035255C" w:rsidP="00574B93">
      <w:pPr>
        <w:spacing w:line="360" w:lineRule="auto"/>
        <w:ind w:left="705"/>
        <w:rPr>
          <w:rFonts w:ascii="Courier New" w:hAnsi="Courier New" w:cs="Courier New"/>
          <w:sz w:val="24"/>
          <w:szCs w:val="24"/>
        </w:rPr>
      </w:pPr>
      <w:r>
        <w:rPr>
          <w:rFonts w:ascii="Courier New" w:hAnsi="Courier New" w:cs="Courier New"/>
          <w:sz w:val="24"/>
          <w:szCs w:val="24"/>
        </w:rPr>
        <w:t xml:space="preserve">Yine aynı devrede, aynı Yasa’nın 4’üncü maddesine göre:     </w:t>
      </w:r>
    </w:p>
    <w:p w:rsidR="0035255C" w:rsidRDefault="0035255C" w:rsidP="00DC21E8">
      <w:pPr>
        <w:spacing w:line="360" w:lineRule="auto"/>
        <w:ind w:left="705"/>
        <w:rPr>
          <w:rFonts w:ascii="Courier New" w:hAnsi="Courier New" w:cs="Courier New"/>
          <w:sz w:val="24"/>
          <w:szCs w:val="24"/>
        </w:rPr>
      </w:pPr>
      <w:r>
        <w:rPr>
          <w:rFonts w:ascii="Courier New" w:hAnsi="Courier New" w:cs="Courier New"/>
          <w:sz w:val="24"/>
          <w:szCs w:val="24"/>
        </w:rPr>
        <w:t>”</w:t>
      </w:r>
      <w:r w:rsidRPr="00574B93">
        <w:rPr>
          <w:rFonts w:ascii="Courier New" w:hAnsi="Courier New" w:cs="Courier New"/>
          <w:sz w:val="24"/>
          <w:szCs w:val="24"/>
          <w:u w:val="single"/>
        </w:rPr>
        <w:t>Makam:</w:t>
      </w:r>
      <w:r>
        <w:rPr>
          <w:rFonts w:ascii="Courier New" w:hAnsi="Courier New" w:cs="Courier New"/>
          <w:sz w:val="24"/>
          <w:szCs w:val="24"/>
        </w:rPr>
        <w:t>H</w:t>
      </w:r>
      <w:r w:rsidRPr="00574B93">
        <w:rPr>
          <w:rFonts w:ascii="Courier New" w:hAnsi="Courier New" w:cs="Courier New"/>
          <w:sz w:val="24"/>
          <w:szCs w:val="24"/>
        </w:rPr>
        <w:t xml:space="preserve">er amirin Güvenlik Kuvvetlerinde temsil ettiği </w:t>
      </w:r>
      <w:r>
        <w:rPr>
          <w:rFonts w:ascii="Courier New" w:hAnsi="Courier New" w:cs="Courier New"/>
          <w:sz w:val="24"/>
          <w:szCs w:val="24"/>
        </w:rPr>
        <w:t xml:space="preserve">  </w:t>
      </w:r>
      <w:r w:rsidRPr="00574B93">
        <w:rPr>
          <w:rFonts w:ascii="Courier New" w:hAnsi="Courier New" w:cs="Courier New"/>
          <w:sz w:val="24"/>
          <w:szCs w:val="24"/>
        </w:rPr>
        <w:t>mevkiyi anlatır.</w:t>
      </w:r>
      <w:r>
        <w:rPr>
          <w:rFonts w:ascii="Courier New" w:hAnsi="Courier New" w:cs="Courier New"/>
          <w:sz w:val="24"/>
          <w:szCs w:val="24"/>
        </w:rPr>
        <w:t xml:space="preserve">“ </w:t>
      </w:r>
    </w:p>
    <w:p w:rsidR="0035255C" w:rsidRDefault="0035255C" w:rsidP="00DC21E8">
      <w:pPr>
        <w:spacing w:line="360" w:lineRule="auto"/>
        <w:ind w:left="705"/>
        <w:rPr>
          <w:rFonts w:ascii="Courier New" w:hAnsi="Courier New" w:cs="Courier New"/>
          <w:sz w:val="24"/>
          <w:szCs w:val="24"/>
        </w:rPr>
      </w:pPr>
      <w:r w:rsidRPr="00574B93">
        <w:rPr>
          <w:rFonts w:ascii="Courier New" w:hAnsi="Courier New" w:cs="Courier New"/>
          <w:sz w:val="24"/>
          <w:szCs w:val="24"/>
          <w:u w:val="single"/>
        </w:rPr>
        <w:lastRenderedPageBreak/>
        <w:t>Amir:</w:t>
      </w:r>
      <w:r w:rsidRPr="00574B93">
        <w:rPr>
          <w:rFonts w:ascii="Courier New" w:hAnsi="Courier New" w:cs="Courier New"/>
          <w:sz w:val="24"/>
          <w:szCs w:val="24"/>
        </w:rPr>
        <w:t xml:space="preserve"> Makam ve memuriyet itibarıyla emretmek yetkisini haiz kimseyi anlatır.</w:t>
      </w:r>
      <w:r>
        <w:rPr>
          <w:rFonts w:ascii="Courier New" w:hAnsi="Courier New" w:cs="Courier New"/>
          <w:sz w:val="24"/>
          <w:szCs w:val="24"/>
        </w:rPr>
        <w:t xml:space="preserve"> Amirin emri altındakilere maiyet denir“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şeklinde tanımlanmıştı.</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Geçmişte birçok Yüksek Mahkeme kararında yorumla ilgili belirtilenler (örneğin; Yargıtay/Hukuk 9</w:t>
      </w:r>
      <w:r w:rsidR="00EA79A7">
        <w:rPr>
          <w:rFonts w:ascii="Courier New" w:hAnsi="Courier New" w:cs="Courier New"/>
          <w:sz w:val="24"/>
          <w:szCs w:val="24"/>
        </w:rPr>
        <w:t>9</w:t>
      </w:r>
      <w:r>
        <w:rPr>
          <w:rFonts w:ascii="Courier New" w:hAnsi="Courier New" w:cs="Courier New"/>
          <w:sz w:val="24"/>
          <w:szCs w:val="24"/>
        </w:rPr>
        <w:t>/2011, Dağıtım 6/2016) g</w:t>
      </w:r>
      <w:r w:rsidR="00EA79A7">
        <w:rPr>
          <w:rFonts w:ascii="Courier New" w:hAnsi="Courier New" w:cs="Courier New"/>
          <w:sz w:val="24"/>
          <w:szCs w:val="24"/>
        </w:rPr>
        <w:t xml:space="preserve">öz önüne alındığında, Davacının Güvenlik Kuvvetlerinde </w:t>
      </w:r>
      <w:r>
        <w:rPr>
          <w:rFonts w:ascii="Courier New" w:hAnsi="Courier New" w:cs="Courier New"/>
          <w:sz w:val="24"/>
          <w:szCs w:val="24"/>
        </w:rPr>
        <w:t xml:space="preserve"> </w:t>
      </w:r>
      <w:r w:rsidR="00EA79A7">
        <w:rPr>
          <w:rFonts w:ascii="Courier New" w:hAnsi="Courier New" w:cs="Courier New"/>
          <w:sz w:val="24"/>
          <w:szCs w:val="24"/>
        </w:rPr>
        <w:t>g</w:t>
      </w:r>
      <w:r>
        <w:rPr>
          <w:rFonts w:ascii="Courier New" w:hAnsi="Courier New" w:cs="Courier New"/>
          <w:sz w:val="24"/>
          <w:szCs w:val="24"/>
        </w:rPr>
        <w:t>eneral sıfatıyla bir makamı bulunmadığını söylemek açıktır ki mümkün değildir. Ancak bu meselede tartışılması veya karara bağlanması gereken</w:t>
      </w:r>
      <w:r w:rsidR="00EA79A7">
        <w:rPr>
          <w:rFonts w:ascii="Courier New" w:hAnsi="Courier New" w:cs="Courier New"/>
          <w:sz w:val="24"/>
          <w:szCs w:val="24"/>
        </w:rPr>
        <w:t xml:space="preserve"> husus</w:t>
      </w:r>
      <w:r>
        <w:rPr>
          <w:rFonts w:ascii="Courier New" w:hAnsi="Courier New" w:cs="Courier New"/>
          <w:sz w:val="24"/>
          <w:szCs w:val="24"/>
        </w:rPr>
        <w:t xml:space="preserve"> Davacının Güve</w:t>
      </w:r>
      <w:r w:rsidR="00EA79A7">
        <w:rPr>
          <w:rFonts w:ascii="Courier New" w:hAnsi="Courier New" w:cs="Courier New"/>
          <w:sz w:val="24"/>
          <w:szCs w:val="24"/>
        </w:rPr>
        <w:t>nlik Kuvvetleri Komutanlığında g</w:t>
      </w:r>
      <w:r>
        <w:rPr>
          <w:rFonts w:ascii="Courier New" w:hAnsi="Courier New" w:cs="Courier New"/>
          <w:sz w:val="24"/>
          <w:szCs w:val="24"/>
        </w:rPr>
        <w:t>eneral olarak hizmet verirken bir makamı bulunup bulunmadığı değil, ”Generallik Ödeneği“ diye tanımlanan ödeneğinin, emeklilik amaçları bakımından dikkâte alınıp alınamayacağıdır. Bu nedenle</w:t>
      </w:r>
      <w:r w:rsidR="00A7462D">
        <w:rPr>
          <w:rFonts w:ascii="Courier New" w:hAnsi="Courier New" w:cs="Courier New"/>
          <w:sz w:val="24"/>
          <w:szCs w:val="24"/>
        </w:rPr>
        <w:t>,</w:t>
      </w:r>
      <w:r>
        <w:rPr>
          <w:rFonts w:ascii="Courier New" w:hAnsi="Courier New" w:cs="Courier New"/>
          <w:sz w:val="24"/>
          <w:szCs w:val="24"/>
        </w:rPr>
        <w:t xml:space="preserve"> Davacının Güvenlik Kuvvetleri Komutanlığında </w:t>
      </w:r>
      <w:r w:rsidR="00A7462D">
        <w:rPr>
          <w:rFonts w:ascii="Courier New" w:hAnsi="Courier New" w:cs="Courier New"/>
          <w:sz w:val="24"/>
          <w:szCs w:val="24"/>
        </w:rPr>
        <w:t>g</w:t>
      </w:r>
      <w:r>
        <w:rPr>
          <w:rFonts w:ascii="Courier New" w:hAnsi="Courier New" w:cs="Courier New"/>
          <w:sz w:val="24"/>
          <w:szCs w:val="24"/>
        </w:rPr>
        <w:t>eneral sıfatıyla bulunduğu sürede</w:t>
      </w:r>
      <w:r w:rsidR="00A7462D">
        <w:rPr>
          <w:rFonts w:ascii="Courier New" w:hAnsi="Courier New" w:cs="Courier New"/>
          <w:sz w:val="24"/>
          <w:szCs w:val="24"/>
        </w:rPr>
        <w:t>,</w:t>
      </w:r>
      <w:r>
        <w:rPr>
          <w:rFonts w:ascii="Courier New" w:hAnsi="Courier New" w:cs="Courier New"/>
          <w:sz w:val="24"/>
          <w:szCs w:val="24"/>
        </w:rPr>
        <w:t xml:space="preserve"> bir makamı temsil etmiş bulunması</w:t>
      </w:r>
      <w:r w:rsidR="00A7462D">
        <w:rPr>
          <w:rFonts w:ascii="Courier New" w:hAnsi="Courier New" w:cs="Courier New"/>
          <w:sz w:val="24"/>
          <w:szCs w:val="24"/>
        </w:rPr>
        <w:t>,</w:t>
      </w:r>
      <w:r>
        <w:rPr>
          <w:rFonts w:ascii="Courier New" w:hAnsi="Courier New" w:cs="Courier New"/>
          <w:sz w:val="24"/>
          <w:szCs w:val="24"/>
        </w:rPr>
        <w:t xml:space="preserve"> bu dava maksatları bakımından önem arz</w:t>
      </w:r>
      <w:r w:rsidR="00A7462D">
        <w:rPr>
          <w:rFonts w:ascii="Courier New" w:hAnsi="Courier New" w:cs="Courier New"/>
          <w:sz w:val="24"/>
          <w:szCs w:val="24"/>
        </w:rPr>
        <w:t xml:space="preserve"> </w:t>
      </w:r>
      <w:r>
        <w:rPr>
          <w:rFonts w:ascii="Courier New" w:hAnsi="Courier New" w:cs="Courier New"/>
          <w:sz w:val="24"/>
          <w:szCs w:val="24"/>
        </w:rPr>
        <w:t>etmemektedir. Belirtildiği gibi önemli olan</w:t>
      </w:r>
      <w:r w:rsidR="00A7462D">
        <w:rPr>
          <w:rFonts w:ascii="Courier New" w:hAnsi="Courier New" w:cs="Courier New"/>
          <w:sz w:val="24"/>
          <w:szCs w:val="24"/>
        </w:rPr>
        <w:t xml:space="preserve"> husus</w:t>
      </w:r>
      <w:r>
        <w:rPr>
          <w:rFonts w:ascii="Courier New" w:hAnsi="Courier New" w:cs="Courier New"/>
          <w:sz w:val="24"/>
          <w:szCs w:val="24"/>
        </w:rPr>
        <w:t xml:space="preserve"> yasa koyucunun, ”Generallik Ödeneği“ adı altında verdiği ödeneği, emeklilik amaçları bakımından dikkâte almayı amaçlayıp amaçlamadığıdır.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Değiştirilmiş şekliyle 26/1977 Sayılı Emeklilik Yasası’nın 4’üncü maddesi:</w:t>
      </w:r>
    </w:p>
    <w:tbl>
      <w:tblPr>
        <w:tblW w:w="0" w:type="auto"/>
        <w:tblInd w:w="-106" w:type="dxa"/>
        <w:tblLayout w:type="fixed"/>
        <w:tblLook w:val="0000"/>
      </w:tblPr>
      <w:tblGrid>
        <w:gridCol w:w="1548"/>
        <w:gridCol w:w="540"/>
        <w:gridCol w:w="720"/>
        <w:gridCol w:w="720"/>
        <w:gridCol w:w="5516"/>
      </w:tblGrid>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 xml:space="preserve">”Emeklilik amaçları </w:t>
            </w:r>
            <w:r>
              <w:rPr>
                <w:rFonts w:ascii="Courier New" w:hAnsi="Courier New" w:cs="Courier New"/>
              </w:rPr>
              <w:t>için kabul edilen ödenekler</w:t>
            </w: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4.</w:t>
            </w: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(1)</w:t>
            </w:r>
          </w:p>
        </w:tc>
        <w:tc>
          <w:tcPr>
            <w:tcW w:w="6236" w:type="dxa"/>
            <w:gridSpan w:val="2"/>
            <w:tcBorders>
              <w:top w:val="nil"/>
              <w:left w:val="nil"/>
              <w:bottom w:val="nil"/>
              <w:right w:val="nil"/>
            </w:tcBorders>
          </w:tcPr>
          <w:p w:rsidR="0035255C" w:rsidRPr="009A4BFB" w:rsidRDefault="0035255C" w:rsidP="009A4BFB">
            <w:pPr>
              <w:spacing w:line="360" w:lineRule="auto"/>
              <w:rPr>
                <w:rFonts w:ascii="Courier New" w:hAnsi="Courier New" w:cs="Courier New"/>
              </w:rPr>
            </w:pPr>
            <w:r w:rsidRPr="009A4BFB">
              <w:rPr>
                <w:rFonts w:ascii="Courier New" w:hAnsi="Courier New" w:cs="Courier New"/>
              </w:rPr>
              <w:t>Bu Yasa amaçları bakımından, emeklilik amaçları için  aşağıdaki ödenekler esas alınır;</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 xml:space="preserve">  </w:t>
            </w: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(a)</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Maaş,</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(b)</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Temsil ödeneği,</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(c)</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Makam ödeneği,</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(ç)</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 xml:space="preserve">Kişisel ödenek, </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(d)</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İaşe ödeneği,</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(e)</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 xml:space="preserve">İaşe ve ibate ödeneği, </w:t>
            </w:r>
          </w:p>
        </w:tc>
      </w:tr>
      <w:tr w:rsidR="0035255C" w:rsidRPr="00F51BA7">
        <w:tc>
          <w:tcPr>
            <w:tcW w:w="1548"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54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p>
        </w:tc>
        <w:tc>
          <w:tcPr>
            <w:tcW w:w="720"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(f)</w:t>
            </w:r>
          </w:p>
        </w:tc>
        <w:tc>
          <w:tcPr>
            <w:tcW w:w="5516" w:type="dxa"/>
            <w:tcBorders>
              <w:top w:val="nil"/>
              <w:left w:val="nil"/>
              <w:bottom w:val="nil"/>
              <w:right w:val="nil"/>
            </w:tcBorders>
          </w:tcPr>
          <w:p w:rsidR="0035255C" w:rsidRPr="009A4BFB" w:rsidRDefault="0035255C" w:rsidP="009A4BFB">
            <w:pPr>
              <w:spacing w:line="240" w:lineRule="auto"/>
              <w:rPr>
                <w:rFonts w:ascii="Courier New" w:hAnsi="Courier New" w:cs="Courier New"/>
              </w:rPr>
            </w:pPr>
            <w:r w:rsidRPr="009A4BFB">
              <w:rPr>
                <w:rFonts w:ascii="Courier New" w:hAnsi="Courier New" w:cs="Courier New"/>
              </w:rPr>
              <w:t>İyi ahlak ödeneği</w:t>
            </w:r>
          </w:p>
        </w:tc>
      </w:tr>
      <w:tr w:rsidR="0035255C" w:rsidRPr="00F51BA7">
        <w:tc>
          <w:tcPr>
            <w:tcW w:w="1548"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tc>
        <w:tc>
          <w:tcPr>
            <w:tcW w:w="54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tc>
        <w:tc>
          <w:tcPr>
            <w:tcW w:w="72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tc>
        <w:tc>
          <w:tcPr>
            <w:tcW w:w="72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r w:rsidRPr="00F51BA7">
              <w:rPr>
                <w:rFonts w:ascii="Courier New" w:hAnsi="Courier New" w:cs="Courier New"/>
              </w:rPr>
              <w:t>(g)</w:t>
            </w:r>
          </w:p>
        </w:tc>
        <w:tc>
          <w:tcPr>
            <w:tcW w:w="5516" w:type="dxa"/>
            <w:tcBorders>
              <w:top w:val="nil"/>
              <w:left w:val="nil"/>
              <w:bottom w:val="nil"/>
              <w:right w:val="nil"/>
            </w:tcBorders>
          </w:tcPr>
          <w:p w:rsidR="0035255C" w:rsidRPr="00F51BA7" w:rsidRDefault="0035255C" w:rsidP="00A7462D">
            <w:pPr>
              <w:spacing w:line="240" w:lineRule="auto"/>
              <w:rPr>
                <w:rFonts w:ascii="Courier New" w:hAnsi="Courier New" w:cs="Courier New"/>
              </w:rPr>
            </w:pPr>
            <w:r w:rsidRPr="00F51BA7">
              <w:rPr>
                <w:rFonts w:ascii="Courier New" w:hAnsi="Courier New" w:cs="Courier New"/>
              </w:rPr>
              <w:t>Liyakat ödeneği</w:t>
            </w:r>
            <w:r w:rsidR="00A7462D">
              <w:rPr>
                <w:rFonts w:ascii="Courier New" w:hAnsi="Courier New" w:cs="Courier New"/>
              </w:rPr>
              <w:t>.</w:t>
            </w:r>
          </w:p>
        </w:tc>
      </w:tr>
      <w:tr w:rsidR="0035255C" w:rsidRPr="00F51BA7">
        <w:tc>
          <w:tcPr>
            <w:tcW w:w="1548"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p w:rsidR="0035255C" w:rsidRPr="00F51BA7" w:rsidRDefault="0035255C" w:rsidP="00F51BA7">
            <w:pPr>
              <w:spacing w:line="240" w:lineRule="auto"/>
              <w:rPr>
                <w:rFonts w:ascii="Courier New" w:hAnsi="Courier New" w:cs="Courier New"/>
              </w:rPr>
            </w:pPr>
          </w:p>
          <w:p w:rsidR="0035255C" w:rsidRPr="00F51BA7" w:rsidRDefault="0035255C" w:rsidP="00F51BA7">
            <w:pPr>
              <w:spacing w:line="240" w:lineRule="auto"/>
              <w:rPr>
                <w:rFonts w:ascii="Courier New" w:hAnsi="Courier New" w:cs="Courier New"/>
              </w:rPr>
            </w:pPr>
          </w:p>
          <w:p w:rsidR="0035255C" w:rsidRPr="00F51BA7" w:rsidRDefault="0035255C" w:rsidP="00F51BA7">
            <w:pPr>
              <w:spacing w:line="240" w:lineRule="auto"/>
              <w:rPr>
                <w:rFonts w:ascii="Courier New" w:hAnsi="Courier New" w:cs="Courier New"/>
              </w:rPr>
            </w:pPr>
          </w:p>
          <w:p w:rsidR="0035255C" w:rsidRPr="00F51BA7" w:rsidRDefault="0035255C" w:rsidP="00F51BA7">
            <w:pPr>
              <w:spacing w:line="240" w:lineRule="auto"/>
              <w:rPr>
                <w:rFonts w:ascii="Courier New" w:hAnsi="Courier New" w:cs="Courier New"/>
              </w:rPr>
            </w:pPr>
          </w:p>
        </w:tc>
        <w:tc>
          <w:tcPr>
            <w:tcW w:w="54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tc>
        <w:tc>
          <w:tcPr>
            <w:tcW w:w="72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r w:rsidRPr="00F51BA7">
              <w:rPr>
                <w:rFonts w:ascii="Courier New" w:hAnsi="Courier New" w:cs="Courier New"/>
              </w:rPr>
              <w:t>(2)</w:t>
            </w:r>
          </w:p>
        </w:tc>
        <w:tc>
          <w:tcPr>
            <w:tcW w:w="6236" w:type="dxa"/>
            <w:gridSpan w:val="2"/>
            <w:tcBorders>
              <w:top w:val="nil"/>
              <w:left w:val="nil"/>
              <w:bottom w:val="nil"/>
              <w:right w:val="nil"/>
            </w:tcBorders>
          </w:tcPr>
          <w:p w:rsidR="0035255C" w:rsidRDefault="0035255C" w:rsidP="00F51BA7">
            <w:pPr>
              <w:spacing w:line="240" w:lineRule="auto"/>
              <w:rPr>
                <w:rFonts w:ascii="Courier New" w:hAnsi="Courier New" w:cs="Courier New"/>
              </w:rPr>
            </w:pPr>
            <w:r w:rsidRPr="00F51BA7">
              <w:rPr>
                <w:rFonts w:ascii="Courier New" w:hAnsi="Courier New" w:cs="Courier New"/>
              </w:rPr>
              <w:t xml:space="preserve">Bir hak sahibinin emeklilik maaşı veya ikramiyesinin hesaplanmasında, o hak sahibinin, emeklilik hakkı kazandıran veya kazandırdığı bu Yasaca kabul edilen hizmet süresi içinde aldığı, emeklilik amaçları için kabul edilen ve fiilen çekilen en yüksek yıllık ödenekler esas alınır. 17’nci madde kuralları saklıdır. </w:t>
            </w:r>
          </w:p>
          <w:p w:rsidR="0035255C" w:rsidRPr="00F51BA7" w:rsidRDefault="0035255C" w:rsidP="00F51BA7">
            <w:pPr>
              <w:spacing w:line="240" w:lineRule="auto"/>
              <w:rPr>
                <w:rFonts w:ascii="Courier New" w:hAnsi="Courier New" w:cs="Courier New"/>
              </w:rPr>
            </w:pPr>
            <w:r w:rsidRPr="00F51BA7">
              <w:rPr>
                <w:rFonts w:ascii="Courier New" w:hAnsi="Courier New" w:cs="Courier New"/>
              </w:rPr>
              <w:tab/>
              <w:t xml:space="preserve">Ancak, hizmet süresi içinde görev yaptığı emeklilik hakkı kazandıran mevkilerden herhangi biri hak sahibine daha yüksek emeklilik menfaati verilmesine olanak tanırsa, o hak sahibi için daha yüksek emeklilik menfaati kazandıran ödenekler, emeklilik amaçları için kabul edilen ödenekler olarak ele alınır ve uygulanır. </w:t>
            </w:r>
          </w:p>
          <w:p w:rsidR="0035255C" w:rsidRPr="00F51BA7" w:rsidRDefault="0035255C" w:rsidP="00F51BA7">
            <w:pPr>
              <w:spacing w:line="240" w:lineRule="auto"/>
              <w:rPr>
                <w:rFonts w:ascii="Courier New" w:hAnsi="Courier New" w:cs="Courier New"/>
              </w:rPr>
            </w:pPr>
            <w:r w:rsidRPr="00F51BA7">
              <w:rPr>
                <w:rFonts w:ascii="Courier New" w:hAnsi="Courier New" w:cs="Courier New"/>
              </w:rPr>
              <w:tab/>
              <w:t>Kuzey Kıbrıs Türk Cumhuriyeti yurttaşı olup da geçici</w:t>
            </w:r>
            <w:r w:rsidR="00A7462D">
              <w:rPr>
                <w:rFonts w:ascii="Courier New" w:hAnsi="Courier New" w:cs="Courier New"/>
              </w:rPr>
              <w:t>,</w:t>
            </w:r>
            <w:r w:rsidRPr="00F51BA7">
              <w:rPr>
                <w:rFonts w:ascii="Courier New" w:hAnsi="Courier New" w:cs="Courier New"/>
              </w:rPr>
              <w:t xml:space="preserve"> arizi veya sözleşmeli olarak görev ifa edenlerin hizmet süreleri içinde ölmeleri halinde de, o güne kadar kamu görevinde bulundukları mevkiler karşılığında aldıkları en yüksek ödenekler esas alınır ve uygulanır.</w:t>
            </w:r>
          </w:p>
        </w:tc>
      </w:tr>
      <w:tr w:rsidR="0035255C" w:rsidRPr="00F51BA7">
        <w:tc>
          <w:tcPr>
            <w:tcW w:w="1548"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tc>
        <w:tc>
          <w:tcPr>
            <w:tcW w:w="54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p>
        </w:tc>
        <w:tc>
          <w:tcPr>
            <w:tcW w:w="720" w:type="dxa"/>
            <w:tcBorders>
              <w:top w:val="nil"/>
              <w:left w:val="nil"/>
              <w:bottom w:val="nil"/>
              <w:right w:val="nil"/>
            </w:tcBorders>
          </w:tcPr>
          <w:p w:rsidR="0035255C" w:rsidRPr="00F51BA7" w:rsidRDefault="0035255C" w:rsidP="00F51BA7">
            <w:pPr>
              <w:spacing w:line="240" w:lineRule="auto"/>
              <w:rPr>
                <w:rFonts w:ascii="Courier New" w:hAnsi="Courier New" w:cs="Courier New"/>
              </w:rPr>
            </w:pPr>
            <w:r>
              <w:rPr>
                <w:rFonts w:ascii="Courier New" w:hAnsi="Courier New" w:cs="Courier New"/>
              </w:rPr>
              <w:t>(3)</w:t>
            </w:r>
          </w:p>
        </w:tc>
        <w:tc>
          <w:tcPr>
            <w:tcW w:w="6236" w:type="dxa"/>
            <w:gridSpan w:val="2"/>
            <w:tcBorders>
              <w:top w:val="nil"/>
              <w:left w:val="nil"/>
              <w:bottom w:val="nil"/>
              <w:right w:val="nil"/>
            </w:tcBorders>
          </w:tcPr>
          <w:p w:rsidR="0035255C" w:rsidRPr="00822168" w:rsidRDefault="0035255C" w:rsidP="00F51BA7">
            <w:pPr>
              <w:spacing w:line="240" w:lineRule="auto"/>
              <w:rPr>
                <w:rFonts w:ascii="Courier New" w:hAnsi="Courier New" w:cs="Courier New"/>
              </w:rPr>
            </w:pPr>
            <w:r>
              <w:rPr>
                <w:rFonts w:ascii="Courier New" w:hAnsi="Courier New" w:cs="Courier New"/>
              </w:rPr>
              <w:t xml:space="preserve">     </w:t>
            </w:r>
            <w:r w:rsidRPr="00822168">
              <w:rPr>
                <w:rFonts w:ascii="Courier New" w:hAnsi="Courier New" w:cs="Courier New"/>
              </w:rPr>
              <w:t xml:space="preserve">Bu Yasanın 3’üncü maddesinin (5)’inci fıkrası uyarınca hak sahibi olan bir kişinin emeklilik işlemleri yapılırken, emeklilik amaçları için kabul edilen ödenekleri, emekliye ayrıldığı tarihte çekmekte olduğu brüt maaşın o tarihte aynı brüt maaşı çeken Kuzey Kıbrıs Türk Cumhuriyeti Devleti kamu görevlisinin aynı veya en yakın asli maaş baremine intibakı yapılarak bu barem üzerinden hesaplanır ve emeklilik işlemleri </w:t>
            </w:r>
            <w:r>
              <w:rPr>
                <w:rFonts w:ascii="Courier New" w:hAnsi="Courier New" w:cs="Courier New"/>
              </w:rPr>
              <w:t xml:space="preserve">bu barem üzerinden yapılır. </w:t>
            </w:r>
            <w:r w:rsidRPr="00822168">
              <w:rPr>
                <w:rFonts w:ascii="Courier New" w:hAnsi="Courier New" w:cs="Courier New"/>
              </w:rPr>
              <w:t>Ancak, bu intibakların azami intibak baremi, Kamu Görevlileri Yasasında öngörülen 17 A bareminden fazla olamaz.</w:t>
            </w:r>
          </w:p>
        </w:tc>
      </w:tr>
    </w:tbl>
    <w:p w:rsidR="0035255C" w:rsidRDefault="00087E22" w:rsidP="00B471CA">
      <w:pPr>
        <w:spacing w:line="360" w:lineRule="auto"/>
        <w:rPr>
          <w:rFonts w:ascii="Courier New" w:hAnsi="Courier New" w:cs="Courier New"/>
          <w:sz w:val="24"/>
          <w:szCs w:val="24"/>
        </w:rPr>
      </w:pPr>
      <w:r>
        <w:rPr>
          <w:rFonts w:ascii="Courier New" w:hAnsi="Courier New" w:cs="Courier New"/>
          <w:sz w:val="24"/>
          <w:szCs w:val="24"/>
        </w:rPr>
        <w:t>ş</w:t>
      </w:r>
      <w:r w:rsidR="0035255C">
        <w:rPr>
          <w:rFonts w:ascii="Courier New" w:hAnsi="Courier New" w:cs="Courier New"/>
          <w:sz w:val="24"/>
          <w:szCs w:val="24"/>
        </w:rPr>
        <w:t>eklindedir.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 xml:space="preserve">Anılan maddeden açıkça anlaşıldığı üzere, bir ödeneğin, emeklilik maaş ve ikramiyesinin hesaplanmasında esas alınabilmesi için, madde 4(1)’de sayılan ödeneklerden birisi olması gereklidir. 4(1)’de sayılan ödeneklerden birisi olmayan veya o isimlerden birisi ile isimlendirilmemiş sair ödeneklerin ise, emeklilik maaş ve ikramiyesinin </w:t>
      </w:r>
      <w:r>
        <w:rPr>
          <w:rFonts w:ascii="Courier New" w:hAnsi="Courier New" w:cs="Courier New"/>
          <w:sz w:val="24"/>
          <w:szCs w:val="24"/>
        </w:rPr>
        <w:lastRenderedPageBreak/>
        <w:t>hesaplanmasında dikkâte alınabilmesi için, başka bir yasada</w:t>
      </w:r>
      <w:r w:rsidR="00353860">
        <w:rPr>
          <w:rFonts w:ascii="Courier New" w:hAnsi="Courier New" w:cs="Courier New"/>
          <w:sz w:val="24"/>
          <w:szCs w:val="24"/>
        </w:rPr>
        <w:t>,</w:t>
      </w:r>
      <w:r>
        <w:rPr>
          <w:rFonts w:ascii="Courier New" w:hAnsi="Courier New" w:cs="Courier New"/>
          <w:sz w:val="24"/>
          <w:szCs w:val="24"/>
        </w:rPr>
        <w:t xml:space="preserve"> bu doğrultuda</w:t>
      </w:r>
      <w:r w:rsidR="00353860">
        <w:rPr>
          <w:rFonts w:ascii="Courier New" w:hAnsi="Courier New" w:cs="Courier New"/>
          <w:sz w:val="24"/>
          <w:szCs w:val="24"/>
        </w:rPr>
        <w:t>,</w:t>
      </w:r>
      <w:r>
        <w:rPr>
          <w:rFonts w:ascii="Courier New" w:hAnsi="Courier New" w:cs="Courier New"/>
          <w:sz w:val="24"/>
          <w:szCs w:val="24"/>
        </w:rPr>
        <w:t xml:space="preserve"> açıkça yapılmış bir düzenleme bulunması gereği vardır.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Farklı bir anlatımla söylemek gerekirse, yasa koyucu, hangi ödeneklerin emeklilik menfaatlerinin hesaplanmasında dikkâte alınacağını İdare’ye bırakmayı uygun görmemiş, diğer bir deyişle İdare’ye takdir hakkı vermemiş, doğrudan bunları sayma yoluyla tüketmiş veya sınırlamıştır</w:t>
      </w:r>
      <w:r w:rsidR="00353860">
        <w:rPr>
          <w:rFonts w:ascii="Courier New" w:hAnsi="Courier New" w:cs="Courier New"/>
          <w:sz w:val="24"/>
          <w:szCs w:val="24"/>
        </w:rPr>
        <w:t>;</w:t>
      </w:r>
      <w:r>
        <w:rPr>
          <w:rFonts w:ascii="Courier New" w:hAnsi="Courier New" w:cs="Courier New"/>
          <w:sz w:val="24"/>
          <w:szCs w:val="24"/>
        </w:rPr>
        <w:t xml:space="preserve"> bu sınırlamayı genişletmek de ancak başka bir yasada konunun özel olarak düzenlenmesi ile mümkün olabilmektedir.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 xml:space="preserve">Belirtilenler dolayısıyla, kendi özel yasasında açıkça emeklilik amaçları bakımından dikkâte alınacağı düzenlenmemiş ”Generallik Ödeneğinin“, yorumla, </w:t>
      </w:r>
      <w:r w:rsidR="00353860">
        <w:rPr>
          <w:rFonts w:ascii="Courier New" w:hAnsi="Courier New" w:cs="Courier New"/>
          <w:sz w:val="24"/>
          <w:szCs w:val="24"/>
        </w:rPr>
        <w:t xml:space="preserve">”Makam Ödeneği“ </w:t>
      </w:r>
      <w:r>
        <w:rPr>
          <w:rFonts w:ascii="Courier New" w:hAnsi="Courier New" w:cs="Courier New"/>
          <w:sz w:val="24"/>
          <w:szCs w:val="24"/>
        </w:rPr>
        <w:t>olarak kabul edilmesi ve Davalının da bu yönde hareket etmemekle hatalı davrandığı sonucuna varılması mümkün olamamaktadır.</w:t>
      </w:r>
    </w:p>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ab/>
        <w:t xml:space="preserve">Hemen belirtmekte yarar vardır ki, ortada müphem bir durum da bulunmamaktadır. Bu nedenle, Davacı lehine yorum yapılması gerektiği özlü iddia da, kabul edilebilir bir iddia halini alamamaktadır. </w:t>
      </w:r>
    </w:p>
    <w:p w:rsidR="0035255C" w:rsidRDefault="0035255C" w:rsidP="00974F36">
      <w:pPr>
        <w:spacing w:line="360" w:lineRule="auto"/>
        <w:ind w:firstLine="708"/>
        <w:rPr>
          <w:rFonts w:ascii="Courier New" w:hAnsi="Courier New" w:cs="Courier New"/>
          <w:sz w:val="24"/>
          <w:szCs w:val="24"/>
        </w:rPr>
      </w:pPr>
      <w:r>
        <w:rPr>
          <w:rFonts w:ascii="Courier New" w:hAnsi="Courier New" w:cs="Courier New"/>
          <w:sz w:val="24"/>
          <w:szCs w:val="24"/>
        </w:rPr>
        <w:t xml:space="preserve">Son olarak belirtmekte yarar vardır ki, yukarıda belirtilenin aksine bir değerlendirme veya yorum, yasa koyucunun, 32/2016 sayılı tadilat </w:t>
      </w:r>
      <w:r w:rsidR="00353860">
        <w:rPr>
          <w:rFonts w:ascii="Courier New" w:hAnsi="Courier New" w:cs="Courier New"/>
          <w:sz w:val="24"/>
          <w:szCs w:val="24"/>
        </w:rPr>
        <w:t>Y</w:t>
      </w:r>
      <w:r>
        <w:rPr>
          <w:rFonts w:ascii="Courier New" w:hAnsi="Courier New" w:cs="Courier New"/>
          <w:sz w:val="24"/>
          <w:szCs w:val="24"/>
        </w:rPr>
        <w:t xml:space="preserve">asası ile 15/1979 sayılı </w:t>
      </w:r>
      <w:r w:rsidR="00353860">
        <w:rPr>
          <w:rFonts w:ascii="Courier New" w:hAnsi="Courier New" w:cs="Courier New"/>
          <w:sz w:val="24"/>
          <w:szCs w:val="24"/>
        </w:rPr>
        <w:t>Y</w:t>
      </w:r>
      <w:r>
        <w:rPr>
          <w:rFonts w:ascii="Courier New" w:hAnsi="Courier New" w:cs="Courier New"/>
          <w:sz w:val="24"/>
          <w:szCs w:val="24"/>
        </w:rPr>
        <w:t>asada yaptığı:</w:t>
      </w:r>
    </w:p>
    <w:tbl>
      <w:tblPr>
        <w:tblW w:w="0" w:type="auto"/>
        <w:tblInd w:w="-106" w:type="dxa"/>
        <w:tblLook w:val="01E0"/>
      </w:tblPr>
      <w:tblGrid>
        <w:gridCol w:w="828"/>
        <w:gridCol w:w="720"/>
        <w:gridCol w:w="7664"/>
      </w:tblGrid>
      <w:tr w:rsidR="0035255C" w:rsidRPr="00621B8E">
        <w:tc>
          <w:tcPr>
            <w:tcW w:w="828"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”48A</w:t>
            </w:r>
          </w:p>
        </w:tc>
        <w:tc>
          <w:tcPr>
            <w:tcW w:w="720"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(3)</w:t>
            </w:r>
          </w:p>
        </w:tc>
        <w:tc>
          <w:tcPr>
            <w:tcW w:w="7664" w:type="dxa"/>
          </w:tcPr>
          <w:p w:rsidR="0035255C" w:rsidRPr="00554AA2" w:rsidRDefault="0035255C" w:rsidP="00554AA2">
            <w:pPr>
              <w:spacing w:line="240" w:lineRule="auto"/>
              <w:rPr>
                <w:rFonts w:ascii="Courier New" w:hAnsi="Courier New" w:cs="Courier New"/>
              </w:rPr>
            </w:pPr>
            <w:r w:rsidRPr="00554AA2">
              <w:rPr>
                <w:rFonts w:ascii="Courier New" w:hAnsi="Courier New" w:cs="Courier New"/>
              </w:rPr>
              <w:t>Tuğgenerale, tuğgeneralliğe terfi sırasındaki maaşının %15  (yüzde on beş)’i oranında ”Generallik Ödeneği“ verilir. Generallik Ödeneği vergiye tabi değildir ve emeklilik amaçları bakımından en son çekmekte olduğu brüt maaşının %5 (yüzde beş)’i maaşlarla bütünlen</w:t>
            </w:r>
            <w:r>
              <w:rPr>
                <w:rFonts w:ascii="Courier New" w:hAnsi="Courier New" w:cs="Courier New"/>
              </w:rPr>
              <w:t>-</w:t>
            </w:r>
            <w:r w:rsidRPr="00554AA2">
              <w:rPr>
                <w:rFonts w:ascii="Courier New" w:hAnsi="Courier New" w:cs="Courier New"/>
              </w:rPr>
              <w:t>dirilerek dikkate alınır ve emekli maaşları buna göre hesaplanır.“</w:t>
            </w:r>
          </w:p>
        </w:tc>
      </w:tr>
    </w:tbl>
    <w:p w:rsidR="0035255C" w:rsidRDefault="0035255C" w:rsidP="00B471CA">
      <w:pPr>
        <w:spacing w:line="360" w:lineRule="auto"/>
        <w:rPr>
          <w:rFonts w:ascii="Courier New" w:hAnsi="Courier New" w:cs="Courier New"/>
          <w:sz w:val="24"/>
          <w:szCs w:val="24"/>
        </w:rPr>
      </w:pPr>
      <w:r>
        <w:rPr>
          <w:rFonts w:ascii="Courier New" w:hAnsi="Courier New" w:cs="Courier New"/>
          <w:sz w:val="24"/>
          <w:szCs w:val="24"/>
        </w:rPr>
        <w:t xml:space="preserve">şeklindeki düzenleme ile de çelişecek ve yasa koyucunun, anılan tadilatla, tadilat sonrası menfaat elde edecek kişiler için öngördüğü oran veya miktardan çok daha fazlasını, Davacının almaya hakkı olduğu sonucunu doğurabilecektir ki,  </w:t>
      </w:r>
      <w:r>
        <w:rPr>
          <w:rFonts w:ascii="Courier New" w:hAnsi="Courier New" w:cs="Courier New"/>
          <w:sz w:val="24"/>
          <w:szCs w:val="24"/>
        </w:rPr>
        <w:lastRenderedPageBreak/>
        <w:t>bunun yaratacağı anomali, a</w:t>
      </w:r>
      <w:r w:rsidR="00353860">
        <w:rPr>
          <w:rFonts w:ascii="Courier New" w:hAnsi="Courier New" w:cs="Courier New"/>
          <w:sz w:val="24"/>
          <w:szCs w:val="24"/>
        </w:rPr>
        <w:t>nılan özde bir yoruma yönelmeyi</w:t>
      </w:r>
      <w:r>
        <w:rPr>
          <w:rFonts w:ascii="Courier New" w:hAnsi="Courier New" w:cs="Courier New"/>
          <w:sz w:val="24"/>
          <w:szCs w:val="24"/>
        </w:rPr>
        <w:t xml:space="preserve"> yorum ilkeleri ile bağdaşmayacağı için imkânsız kılmaktadır.</w:t>
      </w:r>
    </w:p>
    <w:p w:rsidR="0035255C" w:rsidRDefault="0035255C" w:rsidP="00A7121F">
      <w:pPr>
        <w:spacing w:line="360" w:lineRule="auto"/>
        <w:ind w:firstLine="708"/>
        <w:rPr>
          <w:rFonts w:ascii="Courier New" w:hAnsi="Courier New" w:cs="Courier New"/>
          <w:sz w:val="24"/>
          <w:szCs w:val="24"/>
        </w:rPr>
      </w:pPr>
      <w:r>
        <w:rPr>
          <w:rFonts w:ascii="Courier New" w:hAnsi="Courier New" w:cs="Courier New"/>
          <w:sz w:val="24"/>
          <w:szCs w:val="24"/>
        </w:rPr>
        <w:t>Sonuç olarak:</w:t>
      </w:r>
    </w:p>
    <w:p w:rsidR="0035255C" w:rsidRDefault="0035255C" w:rsidP="00A7121F">
      <w:pPr>
        <w:spacing w:line="360" w:lineRule="auto"/>
        <w:ind w:firstLine="708"/>
        <w:rPr>
          <w:rFonts w:ascii="Courier New" w:hAnsi="Courier New" w:cs="Courier New"/>
          <w:sz w:val="24"/>
          <w:szCs w:val="24"/>
        </w:rPr>
      </w:pPr>
      <w:r>
        <w:rPr>
          <w:rFonts w:ascii="Courier New" w:hAnsi="Courier New" w:cs="Courier New"/>
          <w:sz w:val="24"/>
          <w:szCs w:val="24"/>
        </w:rPr>
        <w:t xml:space="preserve"> Talep Takririnin (A) paragrafındaki talep ret ve iptal edilir.</w:t>
      </w:r>
    </w:p>
    <w:p w:rsidR="0035255C" w:rsidRDefault="00353860" w:rsidP="004965D1">
      <w:pPr>
        <w:spacing w:line="360" w:lineRule="auto"/>
        <w:ind w:firstLine="708"/>
        <w:rPr>
          <w:rFonts w:ascii="Courier New" w:hAnsi="Courier New" w:cs="Courier New"/>
          <w:sz w:val="24"/>
          <w:szCs w:val="24"/>
        </w:rPr>
      </w:pPr>
      <w:r>
        <w:rPr>
          <w:rFonts w:ascii="Courier New" w:hAnsi="Courier New" w:cs="Courier New"/>
          <w:sz w:val="24"/>
          <w:szCs w:val="24"/>
        </w:rPr>
        <w:t>Talep Takriri</w:t>
      </w:r>
      <w:r w:rsidR="0035255C">
        <w:rPr>
          <w:rFonts w:ascii="Courier New" w:hAnsi="Courier New" w:cs="Courier New"/>
          <w:sz w:val="24"/>
          <w:szCs w:val="24"/>
        </w:rPr>
        <w:t>nin (B) ve (C) paragraflarındaki talepler geri çekildiklerinden ret ve iptal edilir.</w:t>
      </w:r>
    </w:p>
    <w:p w:rsidR="0035255C" w:rsidRDefault="0035255C" w:rsidP="0022090C">
      <w:pPr>
        <w:spacing w:line="360" w:lineRule="auto"/>
        <w:ind w:firstLine="708"/>
        <w:rPr>
          <w:rFonts w:ascii="Courier New" w:hAnsi="Courier New" w:cs="Courier New"/>
          <w:sz w:val="24"/>
          <w:szCs w:val="24"/>
        </w:rPr>
      </w:pPr>
      <w:r>
        <w:rPr>
          <w:rFonts w:ascii="Courier New" w:hAnsi="Courier New" w:cs="Courier New"/>
          <w:sz w:val="24"/>
          <w:szCs w:val="24"/>
        </w:rPr>
        <w:t>Dava masrafları Davacı tarafından Davalıya ödenecektir.</w:t>
      </w:r>
    </w:p>
    <w:p w:rsidR="0035255C" w:rsidRDefault="0035255C" w:rsidP="00B471CA">
      <w:pPr>
        <w:spacing w:line="360" w:lineRule="auto"/>
        <w:rPr>
          <w:rFonts w:ascii="Courier New" w:hAnsi="Courier New" w:cs="Courier New"/>
          <w:sz w:val="24"/>
          <w:szCs w:val="24"/>
        </w:rPr>
      </w:pPr>
    </w:p>
    <w:p w:rsidR="0035255C" w:rsidRDefault="0035255C" w:rsidP="00F84733">
      <w:pPr>
        <w:spacing w:line="360" w:lineRule="auto"/>
        <w:ind w:left="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Beril Çağdal</w:t>
      </w:r>
    </w:p>
    <w:p w:rsidR="0035255C" w:rsidRDefault="0035255C" w:rsidP="00F84733">
      <w:pPr>
        <w:spacing w:line="360" w:lineRule="auto"/>
        <w:ind w:left="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5255C" w:rsidRDefault="0035255C" w:rsidP="00F84733">
      <w:pPr>
        <w:spacing w:line="360" w:lineRule="auto"/>
        <w:rPr>
          <w:rFonts w:ascii="Courier New" w:hAnsi="Courier New" w:cs="Courier New"/>
          <w:sz w:val="24"/>
          <w:szCs w:val="24"/>
        </w:rPr>
      </w:pPr>
    </w:p>
    <w:p w:rsidR="0035255C" w:rsidRPr="00FE0E7C" w:rsidRDefault="00087E22" w:rsidP="00F84733">
      <w:pPr>
        <w:spacing w:line="360" w:lineRule="auto"/>
        <w:rPr>
          <w:rFonts w:ascii="Courier New" w:hAnsi="Courier New" w:cs="Courier New"/>
          <w:sz w:val="24"/>
          <w:szCs w:val="24"/>
        </w:rPr>
      </w:pPr>
      <w:r>
        <w:rPr>
          <w:rFonts w:ascii="Courier New" w:hAnsi="Courier New" w:cs="Courier New"/>
          <w:sz w:val="24"/>
          <w:szCs w:val="24"/>
        </w:rPr>
        <w:t>27 Aralık</w:t>
      </w:r>
      <w:r w:rsidR="0035255C">
        <w:rPr>
          <w:rFonts w:ascii="Courier New" w:hAnsi="Courier New" w:cs="Courier New"/>
          <w:sz w:val="24"/>
          <w:szCs w:val="24"/>
        </w:rPr>
        <w:t xml:space="preserve"> 2016</w:t>
      </w:r>
    </w:p>
    <w:sectPr w:rsidR="0035255C" w:rsidRPr="00FE0E7C" w:rsidSect="00570717">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C3" w:rsidRDefault="008F18C3">
      <w:r>
        <w:separator/>
      </w:r>
    </w:p>
  </w:endnote>
  <w:endnote w:type="continuationSeparator" w:id="1">
    <w:p w:rsidR="008F18C3" w:rsidRDefault="008F1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C3" w:rsidRDefault="008F18C3">
      <w:r>
        <w:separator/>
      </w:r>
    </w:p>
  </w:footnote>
  <w:footnote w:type="continuationSeparator" w:id="1">
    <w:p w:rsidR="008F18C3" w:rsidRDefault="008F1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5C" w:rsidRDefault="008269B9" w:rsidP="00992D20">
    <w:pPr>
      <w:pStyle w:val="Header"/>
      <w:framePr w:wrap="auto" w:vAnchor="text" w:hAnchor="margin" w:xAlign="center" w:y="1"/>
      <w:rPr>
        <w:rStyle w:val="PageNumber"/>
      </w:rPr>
    </w:pPr>
    <w:r>
      <w:rPr>
        <w:rStyle w:val="PageNumber"/>
      </w:rPr>
      <w:fldChar w:fldCharType="begin"/>
    </w:r>
    <w:r w:rsidR="0035255C">
      <w:rPr>
        <w:rStyle w:val="PageNumber"/>
      </w:rPr>
      <w:instrText xml:space="preserve">PAGE  </w:instrText>
    </w:r>
    <w:r>
      <w:rPr>
        <w:rStyle w:val="PageNumber"/>
      </w:rPr>
      <w:fldChar w:fldCharType="separate"/>
    </w:r>
    <w:r w:rsidR="00425CD4">
      <w:rPr>
        <w:rStyle w:val="PageNumber"/>
        <w:noProof/>
      </w:rPr>
      <w:t>4</w:t>
    </w:r>
    <w:r>
      <w:rPr>
        <w:rStyle w:val="PageNumber"/>
      </w:rPr>
      <w:fldChar w:fldCharType="end"/>
    </w:r>
  </w:p>
  <w:p w:rsidR="0035255C" w:rsidRDefault="003525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B16"/>
    <w:rsid w:val="00006058"/>
    <w:rsid w:val="0001104C"/>
    <w:rsid w:val="00072249"/>
    <w:rsid w:val="00087E22"/>
    <w:rsid w:val="000A43B2"/>
    <w:rsid w:val="000B1158"/>
    <w:rsid w:val="00101CB9"/>
    <w:rsid w:val="001040D7"/>
    <w:rsid w:val="00125551"/>
    <w:rsid w:val="00152CDD"/>
    <w:rsid w:val="00184E4C"/>
    <w:rsid w:val="001A770D"/>
    <w:rsid w:val="0022090C"/>
    <w:rsid w:val="0029352C"/>
    <w:rsid w:val="002B41C3"/>
    <w:rsid w:val="0035255C"/>
    <w:rsid w:val="00353860"/>
    <w:rsid w:val="00354B5C"/>
    <w:rsid w:val="003D7F7F"/>
    <w:rsid w:val="00425CD4"/>
    <w:rsid w:val="00485C24"/>
    <w:rsid w:val="004965D1"/>
    <w:rsid w:val="004B7517"/>
    <w:rsid w:val="004D1B16"/>
    <w:rsid w:val="004F7C76"/>
    <w:rsid w:val="005034A5"/>
    <w:rsid w:val="00526B05"/>
    <w:rsid w:val="00554AA2"/>
    <w:rsid w:val="00570717"/>
    <w:rsid w:val="00574B93"/>
    <w:rsid w:val="00580DB0"/>
    <w:rsid w:val="005B220F"/>
    <w:rsid w:val="005E76EF"/>
    <w:rsid w:val="005F0FA6"/>
    <w:rsid w:val="005F4FBE"/>
    <w:rsid w:val="00614D21"/>
    <w:rsid w:val="0061745E"/>
    <w:rsid w:val="00621B8E"/>
    <w:rsid w:val="00697582"/>
    <w:rsid w:val="006D43A4"/>
    <w:rsid w:val="006E4DC9"/>
    <w:rsid w:val="006E61A8"/>
    <w:rsid w:val="00712B50"/>
    <w:rsid w:val="00736BD8"/>
    <w:rsid w:val="00751E36"/>
    <w:rsid w:val="00822168"/>
    <w:rsid w:val="008269B9"/>
    <w:rsid w:val="008862D6"/>
    <w:rsid w:val="008D4C24"/>
    <w:rsid w:val="008F18C3"/>
    <w:rsid w:val="0091335F"/>
    <w:rsid w:val="00974F36"/>
    <w:rsid w:val="00992D20"/>
    <w:rsid w:val="009A26B2"/>
    <w:rsid w:val="009A4BFB"/>
    <w:rsid w:val="009B5F96"/>
    <w:rsid w:val="009C65E2"/>
    <w:rsid w:val="00A03E69"/>
    <w:rsid w:val="00A527D2"/>
    <w:rsid w:val="00A7121F"/>
    <w:rsid w:val="00A7462D"/>
    <w:rsid w:val="00A97450"/>
    <w:rsid w:val="00AA41C5"/>
    <w:rsid w:val="00AE2265"/>
    <w:rsid w:val="00B023AC"/>
    <w:rsid w:val="00B471CA"/>
    <w:rsid w:val="00B61915"/>
    <w:rsid w:val="00B61E35"/>
    <w:rsid w:val="00BC0C4E"/>
    <w:rsid w:val="00BE6E90"/>
    <w:rsid w:val="00C207CA"/>
    <w:rsid w:val="00C371A0"/>
    <w:rsid w:val="00CA7EB3"/>
    <w:rsid w:val="00CF2FCF"/>
    <w:rsid w:val="00D00399"/>
    <w:rsid w:val="00D04540"/>
    <w:rsid w:val="00D223BF"/>
    <w:rsid w:val="00DC21E8"/>
    <w:rsid w:val="00E25FB8"/>
    <w:rsid w:val="00EA79A7"/>
    <w:rsid w:val="00EB7384"/>
    <w:rsid w:val="00F204E3"/>
    <w:rsid w:val="00F25BF1"/>
    <w:rsid w:val="00F30767"/>
    <w:rsid w:val="00F50BAC"/>
    <w:rsid w:val="00F51BA7"/>
    <w:rsid w:val="00F56F38"/>
    <w:rsid w:val="00F84733"/>
    <w:rsid w:val="00FE0E7C"/>
    <w:rsid w:val="00FF30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2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717"/>
    <w:pPr>
      <w:tabs>
        <w:tab w:val="center" w:pos="4536"/>
        <w:tab w:val="right" w:pos="9072"/>
      </w:tabs>
    </w:pPr>
  </w:style>
  <w:style w:type="character" w:customStyle="1" w:styleId="HeaderChar">
    <w:name w:val="Header Char"/>
    <w:basedOn w:val="DefaultParagraphFont"/>
    <w:link w:val="Header"/>
    <w:uiPriority w:val="99"/>
    <w:semiHidden/>
    <w:locked/>
    <w:rsid w:val="00A527D2"/>
    <w:rPr>
      <w:lang w:eastAsia="en-US"/>
    </w:rPr>
  </w:style>
  <w:style w:type="character" w:styleId="PageNumber">
    <w:name w:val="page number"/>
    <w:basedOn w:val="DefaultParagraphFont"/>
    <w:uiPriority w:val="99"/>
    <w:rsid w:val="00570717"/>
  </w:style>
  <w:style w:type="table" w:styleId="TableGrid">
    <w:name w:val="Table Grid"/>
    <w:basedOn w:val="TableNormal"/>
    <w:uiPriority w:val="99"/>
    <w:locked/>
    <w:rsid w:val="001A770D"/>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yargic1</dc:creator>
  <cp:keywords/>
  <dc:description/>
  <cp:lastModifiedBy>mah2</cp:lastModifiedBy>
  <cp:revision>58</cp:revision>
  <cp:lastPrinted>2016-11-21T10:32:00Z</cp:lastPrinted>
  <dcterms:created xsi:type="dcterms:W3CDTF">2016-11-07T08:44:00Z</dcterms:created>
  <dcterms:modified xsi:type="dcterms:W3CDTF">2017-01-03T07:21:00Z</dcterms:modified>
</cp:coreProperties>
</file>