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A8" w:rsidRPr="001F0815" w:rsidRDefault="008C27A8" w:rsidP="008C27A8">
      <w:pPr>
        <w:pStyle w:val="Heading3"/>
        <w:spacing w:line="360" w:lineRule="auto"/>
        <w:ind w:left="0"/>
        <w:rPr>
          <w:rFonts w:ascii="Courier New" w:hAnsi="Courier New" w:cs="Courier New"/>
          <w:b w:val="0"/>
        </w:rPr>
      </w:pPr>
      <w:r w:rsidRPr="001F0815">
        <w:rPr>
          <w:rFonts w:ascii="Courier New" w:hAnsi="Courier New" w:cs="Courier New"/>
          <w:b w:val="0"/>
        </w:rPr>
        <w:t>D.</w:t>
      </w:r>
      <w:r>
        <w:rPr>
          <w:rFonts w:ascii="Courier New" w:hAnsi="Courier New" w:cs="Courier New"/>
          <w:b w:val="0"/>
        </w:rPr>
        <w:t xml:space="preserve"> 2/2014 </w:t>
      </w:r>
      <w:r>
        <w:rPr>
          <w:rFonts w:ascii="Courier New" w:hAnsi="Courier New" w:cs="Courier New"/>
          <w:b w:val="0"/>
        </w:rPr>
        <w:tab/>
      </w:r>
      <w:r>
        <w:rPr>
          <w:rFonts w:ascii="Courier New" w:hAnsi="Courier New" w:cs="Courier New"/>
          <w:b w:val="0"/>
        </w:rPr>
        <w:tab/>
      </w:r>
      <w:r>
        <w:rPr>
          <w:rFonts w:ascii="Courier New" w:hAnsi="Courier New" w:cs="Courier New"/>
          <w:b w:val="0"/>
        </w:rPr>
        <w:tab/>
      </w:r>
      <w:r>
        <w:rPr>
          <w:rFonts w:ascii="Courier New" w:hAnsi="Courier New" w:cs="Courier New"/>
          <w:b w:val="0"/>
        </w:rPr>
        <w:tab/>
      </w:r>
      <w:r>
        <w:rPr>
          <w:rFonts w:ascii="Courier New" w:hAnsi="Courier New" w:cs="Courier New"/>
          <w:b w:val="0"/>
        </w:rPr>
        <w:tab/>
      </w:r>
      <w:r w:rsidRPr="001F0815">
        <w:rPr>
          <w:rFonts w:ascii="Courier New" w:hAnsi="Courier New" w:cs="Courier New"/>
          <w:b w:val="0"/>
        </w:rPr>
        <w:t>Anayasa Mahkemesi: 1/2011</w:t>
      </w:r>
    </w:p>
    <w:p w:rsidR="008C27A8" w:rsidRPr="0077262E" w:rsidRDefault="008C27A8" w:rsidP="008C27A8">
      <w:pPr>
        <w:pStyle w:val="NormalIndent"/>
        <w:ind w:left="0"/>
        <w:rPr>
          <w:lang w:val="en-US" w:eastAsia="tr-TR"/>
        </w:rPr>
      </w:pPr>
    </w:p>
    <w:p w:rsidR="008C27A8" w:rsidRPr="001F0815" w:rsidRDefault="008C27A8" w:rsidP="008C27A8">
      <w:pPr>
        <w:pStyle w:val="Heading3"/>
        <w:spacing w:line="360" w:lineRule="auto"/>
        <w:ind w:left="0"/>
        <w:rPr>
          <w:rFonts w:ascii="Courier New" w:hAnsi="Courier New" w:cs="Courier New"/>
          <w:b w:val="0"/>
        </w:rPr>
      </w:pPr>
      <w:r w:rsidRPr="001F0815">
        <w:rPr>
          <w:rFonts w:ascii="Courier New" w:hAnsi="Courier New" w:cs="Courier New"/>
          <w:b w:val="0"/>
        </w:rPr>
        <w:t>ANAYASA MAHKEMESİ OLARAK OTURUM YAPAN</w:t>
      </w:r>
    </w:p>
    <w:p w:rsidR="008C27A8" w:rsidRPr="001F0815" w:rsidRDefault="008C27A8" w:rsidP="008C27A8">
      <w:pPr>
        <w:pStyle w:val="Heading3"/>
        <w:spacing w:line="360" w:lineRule="auto"/>
        <w:ind w:left="0"/>
        <w:rPr>
          <w:rFonts w:ascii="Courier New" w:hAnsi="Courier New" w:cs="Courier New"/>
          <w:b w:val="0"/>
        </w:rPr>
      </w:pPr>
      <w:r w:rsidRPr="001F0815">
        <w:rPr>
          <w:rFonts w:ascii="Courier New" w:hAnsi="Courier New" w:cs="Courier New"/>
          <w:b w:val="0"/>
        </w:rPr>
        <w:t>YÜKSEK MAHKEME HUZURUNDA.</w:t>
      </w:r>
    </w:p>
    <w:p w:rsidR="008C27A8" w:rsidRDefault="008C27A8" w:rsidP="008C27A8">
      <w:pPr>
        <w:pStyle w:val="Heading3"/>
        <w:spacing w:line="360" w:lineRule="auto"/>
        <w:ind w:left="0"/>
        <w:rPr>
          <w:rFonts w:ascii="Courier New" w:hAnsi="Courier New" w:cs="Courier New"/>
          <w:b w:val="0"/>
        </w:rPr>
      </w:pPr>
    </w:p>
    <w:p w:rsidR="008C27A8" w:rsidRPr="0077262E" w:rsidRDefault="008C27A8" w:rsidP="008C27A8">
      <w:pPr>
        <w:pStyle w:val="NormalIndent"/>
        <w:rPr>
          <w:lang w:val="en-US" w:eastAsia="tr-TR"/>
        </w:rPr>
      </w:pPr>
    </w:p>
    <w:p w:rsidR="008C27A8" w:rsidRPr="001F0815" w:rsidRDefault="008C27A8" w:rsidP="008C27A8">
      <w:pPr>
        <w:pStyle w:val="Heading3"/>
        <w:spacing w:line="360" w:lineRule="auto"/>
        <w:ind w:left="0"/>
        <w:rPr>
          <w:rFonts w:ascii="Courier New" w:hAnsi="Courier New" w:cs="Courier New"/>
          <w:b w:val="0"/>
        </w:rPr>
      </w:pPr>
      <w:r w:rsidRPr="001F0815">
        <w:rPr>
          <w:rFonts w:ascii="Courier New" w:hAnsi="Courier New" w:cs="Courier New"/>
          <w:b w:val="0"/>
        </w:rPr>
        <w:t>Mahkeme Heyeti: Nevvar Nolan,Başkan, Şafak Öneri,                 Talat D.Refiker, Narin F.Şefik, Hüseyin Besimoğlu.</w:t>
      </w:r>
    </w:p>
    <w:p w:rsidR="008C27A8" w:rsidRDefault="008C27A8" w:rsidP="008C27A8">
      <w:pPr>
        <w:pStyle w:val="Heading3"/>
        <w:spacing w:line="360" w:lineRule="auto"/>
        <w:ind w:left="0"/>
        <w:rPr>
          <w:rFonts w:ascii="Courier New" w:eastAsiaTheme="minorHAnsi" w:hAnsi="Courier New" w:cs="Courier New"/>
          <w:b w:val="0"/>
          <w:bCs w:val="0"/>
          <w:lang w:val="tr-TR" w:eastAsia="en-US"/>
        </w:rPr>
      </w:pPr>
    </w:p>
    <w:p w:rsidR="008C27A8" w:rsidRPr="001F0815" w:rsidRDefault="008C27A8" w:rsidP="008C27A8">
      <w:pPr>
        <w:pStyle w:val="Heading3"/>
        <w:spacing w:line="360" w:lineRule="auto"/>
        <w:ind w:left="0"/>
        <w:rPr>
          <w:rFonts w:ascii="Courier New" w:hAnsi="Courier New" w:cs="Courier New"/>
          <w:b w:val="0"/>
        </w:rPr>
      </w:pPr>
      <w:r>
        <w:rPr>
          <w:rFonts w:ascii="Courier New" w:eastAsiaTheme="minorHAnsi" w:hAnsi="Courier New" w:cs="Courier New"/>
          <w:b w:val="0"/>
          <w:bCs w:val="0"/>
          <w:lang w:val="tr-TR" w:eastAsia="en-US"/>
        </w:rPr>
        <w:tab/>
      </w:r>
      <w:r w:rsidRPr="001F0815">
        <w:rPr>
          <w:rFonts w:ascii="Courier New" w:hAnsi="Courier New" w:cs="Courier New"/>
          <w:b w:val="0"/>
        </w:rPr>
        <w:t>Anayasanın 148.maddesi tahtında</w:t>
      </w:r>
    </w:p>
    <w:p w:rsidR="008C27A8" w:rsidRPr="001F0815" w:rsidRDefault="008C27A8" w:rsidP="008C27A8">
      <w:pPr>
        <w:pStyle w:val="Heading3"/>
        <w:spacing w:line="360" w:lineRule="auto"/>
        <w:rPr>
          <w:rFonts w:ascii="Courier New" w:hAnsi="Courier New" w:cs="Courier New"/>
          <w:b w:val="0"/>
        </w:rPr>
      </w:pPr>
    </w:p>
    <w:p w:rsidR="008C27A8" w:rsidRPr="001F0815" w:rsidRDefault="008C27A8" w:rsidP="008C27A8">
      <w:pPr>
        <w:spacing w:line="360" w:lineRule="auto"/>
        <w:rPr>
          <w:rFonts w:ascii="Courier New" w:hAnsi="Courier New" w:cs="Courier New"/>
          <w:sz w:val="24"/>
          <w:szCs w:val="24"/>
        </w:rPr>
      </w:pPr>
      <w:r>
        <w:rPr>
          <w:rFonts w:ascii="Courier New" w:hAnsi="Courier New" w:cs="Courier New"/>
          <w:sz w:val="24"/>
          <w:szCs w:val="24"/>
        </w:rPr>
        <w:tab/>
      </w:r>
      <w:r w:rsidRPr="001F0815">
        <w:rPr>
          <w:rFonts w:ascii="Courier New" w:hAnsi="Courier New" w:cs="Courier New"/>
          <w:sz w:val="24"/>
          <w:szCs w:val="24"/>
        </w:rPr>
        <w:t>Girne Kaza Mahkemesi tarafından 2087/2005 sayılı Dava</w:t>
      </w:r>
      <w:r>
        <w:rPr>
          <w:rFonts w:ascii="Courier New" w:hAnsi="Courier New" w:cs="Courier New"/>
          <w:sz w:val="24"/>
          <w:szCs w:val="24"/>
        </w:rPr>
        <w:t>da</w:t>
      </w:r>
      <w:r w:rsidRPr="001F0815">
        <w:rPr>
          <w:rFonts w:ascii="Courier New" w:hAnsi="Courier New" w:cs="Courier New"/>
          <w:sz w:val="24"/>
          <w:szCs w:val="24"/>
        </w:rPr>
        <w:t xml:space="preserve"> (Davacı 1- Partner İnşaat Sanayi ve Ticaret Şti.</w:t>
      </w:r>
      <w:r>
        <w:rPr>
          <w:rFonts w:ascii="Courier New" w:hAnsi="Courier New" w:cs="Courier New"/>
          <w:sz w:val="24"/>
          <w:szCs w:val="24"/>
        </w:rPr>
        <w:t xml:space="preserve"> Ltd.,</w:t>
      </w:r>
      <w:r w:rsidRPr="001F0815">
        <w:rPr>
          <w:rFonts w:ascii="Courier New" w:hAnsi="Courier New" w:cs="Courier New"/>
          <w:sz w:val="24"/>
          <w:szCs w:val="24"/>
        </w:rPr>
        <w:t xml:space="preserve"> 21, Şht. Aytekin Zekai Sokak, Lefkoşa ve diğeri ile Davalı: 1- Sercem Homes Ltd., Girne ve diğerleri arasında) sunulan konu.</w:t>
      </w:r>
    </w:p>
    <w:p w:rsidR="008C27A8" w:rsidRPr="001F0815" w:rsidRDefault="008C27A8" w:rsidP="008C27A8">
      <w:pPr>
        <w:spacing w:line="360" w:lineRule="auto"/>
        <w:rPr>
          <w:rFonts w:ascii="Courier New" w:hAnsi="Courier New" w:cs="Courier New"/>
          <w:sz w:val="24"/>
          <w:szCs w:val="24"/>
        </w:rPr>
      </w:pPr>
    </w:p>
    <w:p w:rsidR="008C27A8" w:rsidRPr="000125CB" w:rsidRDefault="008C27A8" w:rsidP="008C27A8">
      <w:pPr>
        <w:rPr>
          <w:rFonts w:ascii="Courier New" w:hAnsi="Courier New" w:cs="Courier New"/>
          <w:sz w:val="24"/>
          <w:szCs w:val="24"/>
        </w:rPr>
      </w:pPr>
      <w:r w:rsidRPr="000125CB">
        <w:rPr>
          <w:rFonts w:ascii="Courier New" w:hAnsi="Courier New" w:cs="Courier New"/>
          <w:sz w:val="24"/>
          <w:szCs w:val="24"/>
        </w:rPr>
        <w:t>Havale isteminde bulu</w:t>
      </w:r>
      <w:r>
        <w:rPr>
          <w:rFonts w:ascii="Courier New" w:hAnsi="Courier New" w:cs="Courier New"/>
          <w:sz w:val="24"/>
          <w:szCs w:val="24"/>
        </w:rPr>
        <w:t xml:space="preserve">nan Davacılar tarafından Avukat </w:t>
      </w:r>
      <w:r w:rsidRPr="000125CB">
        <w:rPr>
          <w:rFonts w:ascii="Courier New" w:hAnsi="Courier New" w:cs="Courier New"/>
          <w:sz w:val="24"/>
          <w:szCs w:val="24"/>
        </w:rPr>
        <w:t>Hasan Esendağlı.</w:t>
      </w:r>
    </w:p>
    <w:p w:rsidR="008C27A8" w:rsidRPr="000125CB" w:rsidRDefault="008C27A8" w:rsidP="008C27A8">
      <w:pPr>
        <w:rPr>
          <w:rFonts w:ascii="Courier New" w:hAnsi="Courier New" w:cs="Courier New"/>
          <w:sz w:val="24"/>
          <w:szCs w:val="24"/>
        </w:rPr>
      </w:pPr>
      <w:r w:rsidRPr="000125CB">
        <w:rPr>
          <w:rFonts w:ascii="Courier New" w:hAnsi="Courier New" w:cs="Courier New"/>
          <w:sz w:val="24"/>
          <w:szCs w:val="24"/>
        </w:rPr>
        <w:t>Davalılar tarafından Av</w:t>
      </w:r>
      <w:r>
        <w:rPr>
          <w:rFonts w:ascii="Courier New" w:hAnsi="Courier New" w:cs="Courier New"/>
          <w:sz w:val="24"/>
          <w:szCs w:val="24"/>
        </w:rPr>
        <w:t xml:space="preserve">ukat Oktay Feridun ve Avukat </w:t>
      </w:r>
      <w:r w:rsidRPr="000125CB">
        <w:rPr>
          <w:rFonts w:ascii="Courier New" w:hAnsi="Courier New" w:cs="Courier New"/>
          <w:sz w:val="24"/>
          <w:szCs w:val="24"/>
        </w:rPr>
        <w:t>Serhan Ç</w:t>
      </w:r>
      <w:r>
        <w:rPr>
          <w:rFonts w:ascii="Courier New" w:hAnsi="Courier New" w:cs="Courier New"/>
          <w:sz w:val="24"/>
          <w:szCs w:val="24"/>
        </w:rPr>
        <w:t>i</w:t>
      </w:r>
      <w:r w:rsidRPr="000125CB">
        <w:rPr>
          <w:rFonts w:ascii="Courier New" w:hAnsi="Courier New" w:cs="Courier New"/>
          <w:sz w:val="24"/>
          <w:szCs w:val="24"/>
        </w:rPr>
        <w:t>nar.</w:t>
      </w:r>
    </w:p>
    <w:p w:rsidR="008C27A8" w:rsidRPr="000125CB" w:rsidRDefault="008C27A8" w:rsidP="008C27A8">
      <w:pPr>
        <w:rPr>
          <w:rFonts w:ascii="Courier New" w:hAnsi="Courier New" w:cs="Courier New"/>
          <w:sz w:val="24"/>
          <w:szCs w:val="24"/>
        </w:rPr>
      </w:pPr>
      <w:r w:rsidRPr="000125CB">
        <w:rPr>
          <w:rFonts w:ascii="Courier New" w:hAnsi="Courier New" w:cs="Courier New"/>
          <w:sz w:val="24"/>
          <w:szCs w:val="24"/>
        </w:rPr>
        <w:t>Amicus Curiae olarak Başsavcı Y</w:t>
      </w:r>
      <w:r>
        <w:rPr>
          <w:rFonts w:ascii="Courier New" w:hAnsi="Courier New" w:cs="Courier New"/>
          <w:sz w:val="24"/>
          <w:szCs w:val="24"/>
        </w:rPr>
        <w:t>ardımcısı E</w:t>
      </w:r>
      <w:r w:rsidRPr="000125CB">
        <w:rPr>
          <w:rFonts w:ascii="Courier New" w:hAnsi="Courier New" w:cs="Courier New"/>
          <w:sz w:val="24"/>
          <w:szCs w:val="24"/>
        </w:rPr>
        <w:t>rsoy Ölçter.</w:t>
      </w:r>
    </w:p>
    <w:p w:rsidR="008C27A8" w:rsidRDefault="008C27A8" w:rsidP="008C27A8">
      <w:pPr>
        <w:pStyle w:val="Heading3"/>
        <w:spacing w:line="360" w:lineRule="auto"/>
        <w:ind w:left="0"/>
        <w:rPr>
          <w:rFonts w:ascii="Courier New" w:hAnsi="Courier New" w:cs="Courier New"/>
          <w:b w:val="0"/>
        </w:rPr>
      </w:pPr>
      <w:r>
        <w:rPr>
          <w:rFonts w:ascii="Courier New" w:eastAsiaTheme="minorHAnsi" w:hAnsi="Courier New" w:cs="Courier New"/>
          <w:b w:val="0"/>
          <w:bCs w:val="0"/>
          <w:lang w:val="tr-TR" w:eastAsia="en-US"/>
        </w:rPr>
        <w:t xml:space="preserve">  </w:t>
      </w:r>
    </w:p>
    <w:p w:rsidR="008C27A8" w:rsidRPr="005855B3" w:rsidRDefault="008C27A8" w:rsidP="008C27A8">
      <w:pPr>
        <w:pStyle w:val="Heading3"/>
        <w:spacing w:line="360" w:lineRule="auto"/>
        <w:rPr>
          <w:rFonts w:ascii="Courier New" w:hAnsi="Courier New" w:cs="Courier New"/>
          <w:b w:val="0"/>
        </w:rPr>
      </w:pPr>
      <w:r>
        <w:rPr>
          <w:rFonts w:ascii="Courier New" w:hAnsi="Courier New" w:cs="Courier New"/>
          <w:b w:val="0"/>
        </w:rPr>
        <w:tab/>
      </w:r>
      <w:r w:rsidRPr="001F0815">
        <w:rPr>
          <w:rFonts w:ascii="Courier New" w:hAnsi="Courier New" w:cs="Courier New"/>
          <w:b w:val="0"/>
        </w:rPr>
        <w:tab/>
      </w:r>
      <w:r w:rsidRPr="001F0815">
        <w:rPr>
          <w:rFonts w:ascii="Courier New" w:hAnsi="Courier New" w:cs="Courier New"/>
          <w:b w:val="0"/>
        </w:rPr>
        <w:tab/>
      </w:r>
      <w:r w:rsidRPr="001F0815">
        <w:rPr>
          <w:rFonts w:ascii="Courier New" w:hAnsi="Courier New" w:cs="Courier New"/>
          <w:b w:val="0"/>
        </w:rPr>
        <w:tab/>
        <w:t>-----------------</w:t>
      </w:r>
    </w:p>
    <w:p w:rsidR="008C27A8" w:rsidRDefault="008C27A8" w:rsidP="008C27A8">
      <w:pPr>
        <w:spacing w:line="360" w:lineRule="auto"/>
        <w:ind w:left="2832" w:firstLine="708"/>
        <w:jc w:val="both"/>
        <w:rPr>
          <w:rFonts w:ascii="Courier New" w:hAnsi="Courier New" w:cs="Courier New"/>
          <w:b/>
          <w:sz w:val="24"/>
          <w:szCs w:val="24"/>
          <w:u w:val="single"/>
        </w:rPr>
      </w:pPr>
    </w:p>
    <w:p w:rsidR="008C27A8" w:rsidRDefault="008C27A8" w:rsidP="008C27A8">
      <w:pPr>
        <w:spacing w:line="360" w:lineRule="auto"/>
        <w:ind w:left="2832" w:firstLine="708"/>
        <w:jc w:val="both"/>
        <w:rPr>
          <w:rFonts w:ascii="Courier New" w:hAnsi="Courier New" w:cs="Courier New"/>
          <w:b/>
          <w:sz w:val="24"/>
          <w:szCs w:val="24"/>
          <w:u w:val="single"/>
        </w:rPr>
      </w:pPr>
      <w:r w:rsidRPr="001F0815">
        <w:rPr>
          <w:rFonts w:ascii="Courier New" w:hAnsi="Courier New" w:cs="Courier New"/>
          <w:b/>
          <w:sz w:val="24"/>
          <w:szCs w:val="24"/>
          <w:u w:val="single"/>
        </w:rPr>
        <w:t>K A R A R</w:t>
      </w:r>
    </w:p>
    <w:p w:rsidR="008C27A8" w:rsidRPr="001F0815" w:rsidRDefault="008C27A8" w:rsidP="008C27A8">
      <w:pPr>
        <w:spacing w:line="240" w:lineRule="auto"/>
        <w:ind w:left="2832" w:firstLine="708"/>
        <w:jc w:val="both"/>
        <w:rPr>
          <w:rFonts w:ascii="Courier New" w:hAnsi="Courier New" w:cs="Courier New"/>
          <w:b/>
          <w:sz w:val="24"/>
          <w:szCs w:val="24"/>
          <w:u w:val="single"/>
        </w:rPr>
      </w:pPr>
    </w:p>
    <w:p w:rsidR="008C27A8" w:rsidRDefault="008C27A8" w:rsidP="008C27A8">
      <w:pPr>
        <w:spacing w:line="360" w:lineRule="auto"/>
        <w:ind w:firstLine="708"/>
        <w:rPr>
          <w:rFonts w:ascii="Courier New" w:hAnsi="Courier New" w:cs="Courier New"/>
          <w:sz w:val="24"/>
          <w:szCs w:val="24"/>
        </w:rPr>
      </w:pPr>
      <w:r>
        <w:rPr>
          <w:rFonts w:ascii="Courier New" w:hAnsi="Courier New" w:cs="Courier New"/>
          <w:sz w:val="24"/>
          <w:szCs w:val="24"/>
        </w:rPr>
        <w:t xml:space="preserve">Girne Kaza Mahkemesinin 2087/2005 sayılı hukuk davasında, Davacı taraf, taraflar arasında yapılan bir inşaat ve/veya inşaat hizmeti sözleşmesini Mahkemeye emare olarak sunmak istedi, Davalılar 19/1963 sayılı Pul Yasası gereği vergiye tabi olan sözleşmenin </w:t>
      </w:r>
      <w:r w:rsidRPr="0077262E">
        <w:rPr>
          <w:rFonts w:ascii="Courier New" w:hAnsi="Courier New" w:cs="Courier New"/>
          <w:sz w:val="24"/>
          <w:szCs w:val="24"/>
        </w:rPr>
        <w:t>pullanmadığını,</w:t>
      </w:r>
      <w:r>
        <w:rPr>
          <w:rFonts w:ascii="Courier New" w:hAnsi="Courier New" w:cs="Courier New"/>
          <w:sz w:val="24"/>
          <w:szCs w:val="24"/>
        </w:rPr>
        <w:t xml:space="preserve"> pullanmamış </w:t>
      </w:r>
    </w:p>
    <w:p w:rsidR="008C27A8" w:rsidRDefault="008C27A8" w:rsidP="008C27A8">
      <w:pPr>
        <w:spacing w:line="36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r>
        <w:rPr>
          <w:rFonts w:ascii="Courier New" w:hAnsi="Courier New" w:cs="Courier New"/>
          <w:sz w:val="24"/>
          <w:szCs w:val="24"/>
        </w:rPr>
        <w:t>sözleşmenin de 19/1963 sayılı Pul Yasası’nın 36. maddesine göre delil olarak gösterilemeyeceğini ileri sürerek, sözleşmenin ibrazına itiraz ettiler. Sözleşmenin vergiye tabi olduğu ve pullanmadığı taraflarca kabul edilmektedir. Davacılar, pullanmamış sözleşmenin Mahkeme tarafından delil olarak kabul edilemeyeceğini düzenleyen 19/1963 sayılı Pul Yasası’nın 35 ve 36. maddelerinin Anayasa’nın 1 ve 17(4)(c) maddelerine aykırı olduğunu ileri sürerek, konu Yasa</w:t>
      </w:r>
      <w:r w:rsidRPr="00C44FE7">
        <w:rPr>
          <w:rFonts w:ascii="Courier New" w:hAnsi="Courier New" w:cs="Courier New"/>
          <w:b/>
          <w:sz w:val="24"/>
          <w:szCs w:val="24"/>
        </w:rPr>
        <w:t xml:space="preserve"> </w:t>
      </w:r>
      <w:r w:rsidRPr="00C7586A">
        <w:rPr>
          <w:rFonts w:ascii="Courier New" w:hAnsi="Courier New" w:cs="Courier New"/>
          <w:sz w:val="24"/>
          <w:szCs w:val="24"/>
        </w:rPr>
        <w:t xml:space="preserve">maddelerinin </w:t>
      </w:r>
      <w:r>
        <w:rPr>
          <w:rFonts w:ascii="Courier New" w:hAnsi="Courier New" w:cs="Courier New"/>
          <w:sz w:val="24"/>
          <w:szCs w:val="24"/>
        </w:rPr>
        <w:t>karara bağlanmak üzere Anayasa Mahkemesine havalesini talep ettiler; Girne Kaza Mahkemesi de önündeki davanın karara bağlanmasında etken olduğu gerekçesi ile, 19/1963 sayılı Pul Yasası’nın 35 ve 36. maddelerini, Anayasa’nın 1 ve 17(4)(c) maddelerine aykırı olup olmadıklarının karara bağlanması için Anayasa Mahkemesine havale etti.</w:t>
      </w:r>
    </w:p>
    <w:p w:rsidR="008C27A8" w:rsidRDefault="008C27A8" w:rsidP="008C27A8">
      <w:pPr>
        <w:spacing w:line="240" w:lineRule="auto"/>
        <w:rPr>
          <w:rFonts w:ascii="Courier New" w:hAnsi="Courier New" w:cs="Courier New"/>
          <w:sz w:val="24"/>
          <w:szCs w:val="24"/>
        </w:rPr>
      </w:pPr>
      <w:r>
        <w:rPr>
          <w:rFonts w:ascii="Courier New" w:hAnsi="Courier New" w:cs="Courier New"/>
          <w:sz w:val="24"/>
          <w:szCs w:val="24"/>
        </w:rPr>
        <w:tab/>
      </w:r>
    </w:p>
    <w:p w:rsidR="008C27A8" w:rsidRDefault="008C27A8" w:rsidP="008C27A8">
      <w:pPr>
        <w:spacing w:line="360" w:lineRule="auto"/>
        <w:ind w:firstLine="708"/>
        <w:rPr>
          <w:rFonts w:ascii="Courier New" w:hAnsi="Courier New" w:cs="Courier New"/>
          <w:sz w:val="24"/>
          <w:szCs w:val="24"/>
        </w:rPr>
      </w:pPr>
      <w:r>
        <w:rPr>
          <w:rFonts w:ascii="Courier New" w:hAnsi="Courier New" w:cs="Courier New"/>
          <w:sz w:val="24"/>
          <w:szCs w:val="24"/>
        </w:rPr>
        <w:t>Anayasa’nın 17 (4)(c) maddesinde, herkesin delillerini göstermek veya göstertmek hakkına sahip olduğu ifade edilmektedir. Davacılar, “</w:t>
      </w:r>
      <w:r w:rsidRPr="00EF3594">
        <w:rPr>
          <w:rFonts w:ascii="Courier New" w:hAnsi="Courier New" w:cs="Courier New"/>
          <w:sz w:val="24"/>
          <w:szCs w:val="24"/>
        </w:rPr>
        <w:t>vergiye</w:t>
      </w:r>
      <w:r>
        <w:rPr>
          <w:rFonts w:ascii="Courier New" w:hAnsi="Courier New" w:cs="Courier New"/>
          <w:sz w:val="24"/>
          <w:szCs w:val="24"/>
        </w:rPr>
        <w:t xml:space="preserve"> tabi bir enstrüman, ceza davaları dışında, bu Yasa hükümlerine göre hakkıyla pullanmadıkça delil olarak gösterilemez” kuralını içeren 19/1963 sayılı Pul Yasası’nın 36. maddesi ile sonuçta aynı kuralı içeren 35. maddesinin, Anayasa’nın 17(4)(c) maddesinde kişiye sağlanan delillerini gösterme hakkını, keza Anayasa’nın 1. maddesinde yer alan hukukun üstünlüğü ilkesini ihlal ettiği iddiasındadır.</w:t>
      </w:r>
    </w:p>
    <w:p w:rsidR="008C27A8" w:rsidRDefault="008C27A8" w:rsidP="008C27A8">
      <w:pPr>
        <w:spacing w:line="240" w:lineRule="auto"/>
        <w:ind w:firstLine="708"/>
        <w:rPr>
          <w:rFonts w:ascii="Courier New" w:hAnsi="Courier New" w:cs="Courier New"/>
          <w:sz w:val="24"/>
          <w:szCs w:val="24"/>
        </w:rPr>
      </w:pPr>
    </w:p>
    <w:p w:rsidR="008C27A8" w:rsidRDefault="008C27A8" w:rsidP="008C27A8">
      <w:pPr>
        <w:spacing w:line="360" w:lineRule="auto"/>
        <w:ind w:firstLine="708"/>
        <w:rPr>
          <w:rFonts w:ascii="Courier New" w:hAnsi="Courier New" w:cs="Courier New"/>
          <w:sz w:val="24"/>
          <w:szCs w:val="24"/>
        </w:rPr>
      </w:pPr>
      <w:r>
        <w:rPr>
          <w:rFonts w:ascii="Courier New" w:hAnsi="Courier New" w:cs="Courier New"/>
          <w:sz w:val="24"/>
          <w:szCs w:val="24"/>
        </w:rPr>
        <w:t xml:space="preserve">19/1963 sayılı Pul Yasası’nın, Anayasaya aykırı olduğu ileri sürülen 35 ve 36. maddeleri ile Anayasa’nın 17(4)(c) maddeleri aşağıda verildiği gibidir: </w:t>
      </w:r>
    </w:p>
    <w:p w:rsidR="008C27A8" w:rsidRDefault="008C27A8" w:rsidP="008C27A8">
      <w:pPr>
        <w:spacing w:line="240" w:lineRule="auto"/>
        <w:ind w:firstLine="708"/>
        <w:rPr>
          <w:rFonts w:ascii="Courier New" w:hAnsi="Courier New" w:cs="Courier New"/>
          <w:sz w:val="24"/>
          <w:szCs w:val="24"/>
        </w:rPr>
      </w:pPr>
    </w:p>
    <w:p w:rsidR="008C27A8" w:rsidRDefault="008C27A8" w:rsidP="008C27A8">
      <w:pPr>
        <w:spacing w:line="240" w:lineRule="auto"/>
        <w:ind w:firstLine="708"/>
        <w:rPr>
          <w:rFonts w:ascii="Courier New" w:hAnsi="Courier New" w:cs="Courier New"/>
          <w:sz w:val="24"/>
          <w:szCs w:val="24"/>
        </w:rPr>
      </w:pPr>
    </w:p>
    <w:p w:rsidR="008C27A8" w:rsidRDefault="008C27A8" w:rsidP="008C27A8">
      <w:pPr>
        <w:spacing w:line="360" w:lineRule="auto"/>
        <w:ind w:firstLine="708"/>
        <w:rPr>
          <w:rFonts w:ascii="Courier New" w:hAnsi="Courier New" w:cs="Courier New"/>
          <w:sz w:val="24"/>
          <w:szCs w:val="24"/>
        </w:rPr>
      </w:pPr>
      <w:r w:rsidRPr="005855B3">
        <w:rPr>
          <w:rFonts w:ascii="Courier New" w:hAnsi="Courier New" w:cs="Courier New"/>
          <w:sz w:val="24"/>
          <w:szCs w:val="24"/>
        </w:rPr>
        <w:t>19/1963 sayılı Pul Yasası</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2"/>
        <w:gridCol w:w="925"/>
        <w:gridCol w:w="850"/>
        <w:gridCol w:w="6096"/>
      </w:tblGrid>
      <w:tr w:rsidR="008C27A8" w:rsidTr="00A674E1">
        <w:tc>
          <w:tcPr>
            <w:tcW w:w="2302" w:type="dxa"/>
          </w:tcPr>
          <w:p w:rsidR="008C27A8" w:rsidRPr="00813F6D" w:rsidRDefault="008C27A8" w:rsidP="00A674E1">
            <w:pPr>
              <w:rPr>
                <w:rFonts w:ascii="Times New Roman" w:hAnsi="Times New Roman" w:cs="Times New Roman"/>
                <w:b/>
                <w:sz w:val="24"/>
                <w:szCs w:val="24"/>
              </w:rPr>
            </w:pPr>
          </w:p>
          <w:p w:rsidR="008C27A8" w:rsidRDefault="008C27A8" w:rsidP="00A674E1">
            <w:pPr>
              <w:rPr>
                <w:rFonts w:ascii="Times New Roman" w:hAnsi="Times New Roman" w:cs="Times New Roman"/>
                <w:sz w:val="24"/>
                <w:szCs w:val="24"/>
              </w:rPr>
            </w:pPr>
            <w:r w:rsidRPr="00813F6D">
              <w:rPr>
                <w:rFonts w:ascii="Times New Roman" w:hAnsi="Times New Roman" w:cs="Times New Roman"/>
                <w:sz w:val="24"/>
                <w:szCs w:val="24"/>
              </w:rPr>
              <w:t>Pullanmamış enstruman-</w:t>
            </w:r>
          </w:p>
          <w:p w:rsidR="008C27A8" w:rsidRPr="00813F6D" w:rsidRDefault="008C27A8" w:rsidP="00A674E1">
            <w:pPr>
              <w:rPr>
                <w:rFonts w:ascii="Times New Roman" w:hAnsi="Times New Roman" w:cs="Times New Roman"/>
                <w:sz w:val="24"/>
                <w:szCs w:val="24"/>
              </w:rPr>
            </w:pPr>
            <w:r w:rsidRPr="00813F6D">
              <w:rPr>
                <w:rFonts w:ascii="Times New Roman" w:hAnsi="Times New Roman" w:cs="Times New Roman"/>
                <w:sz w:val="24"/>
                <w:szCs w:val="24"/>
              </w:rPr>
              <w:t>ların ibrazı.</w:t>
            </w:r>
          </w:p>
          <w:p w:rsidR="008C27A8" w:rsidRPr="00813F6D" w:rsidRDefault="008C27A8" w:rsidP="00A674E1">
            <w:pPr>
              <w:rPr>
                <w:rFonts w:ascii="Times New Roman" w:hAnsi="Times New Roman" w:cs="Times New Roman"/>
                <w:sz w:val="24"/>
                <w:szCs w:val="24"/>
              </w:rPr>
            </w:pPr>
            <w:r w:rsidRPr="00813F6D">
              <w:rPr>
                <w:rFonts w:ascii="Times New Roman" w:hAnsi="Times New Roman" w:cs="Times New Roman"/>
                <w:sz w:val="24"/>
                <w:szCs w:val="24"/>
              </w:rPr>
              <w:t>7.39/1995</w:t>
            </w:r>
          </w:p>
          <w:p w:rsidR="008C27A8" w:rsidRPr="00813F6D" w:rsidRDefault="008C27A8" w:rsidP="00A674E1">
            <w:pPr>
              <w:jc w:val="center"/>
              <w:rPr>
                <w:rFonts w:ascii="Times New Roman" w:hAnsi="Times New Roman" w:cs="Times New Roman"/>
                <w:sz w:val="24"/>
                <w:szCs w:val="24"/>
              </w:rPr>
            </w:pPr>
            <w:r w:rsidRPr="00813F6D">
              <w:rPr>
                <w:rFonts w:ascii="Times New Roman" w:hAnsi="Times New Roman" w:cs="Times New Roman"/>
                <w:sz w:val="24"/>
                <w:szCs w:val="24"/>
              </w:rPr>
              <w:t>A.E.813</w:t>
            </w:r>
          </w:p>
          <w:p w:rsidR="008C27A8" w:rsidRPr="00813F6D" w:rsidRDefault="008C27A8" w:rsidP="00A674E1">
            <w:pPr>
              <w:rPr>
                <w:rFonts w:ascii="Times New Roman" w:hAnsi="Times New Roman" w:cs="Times New Roman"/>
                <w:sz w:val="24"/>
                <w:szCs w:val="24"/>
              </w:rPr>
            </w:pPr>
            <w:r>
              <w:rPr>
                <w:rFonts w:ascii="Times New Roman" w:hAnsi="Times New Roman" w:cs="Times New Roman"/>
                <w:sz w:val="24"/>
                <w:szCs w:val="24"/>
              </w:rPr>
              <w:t xml:space="preserve">      </w:t>
            </w:r>
            <w:r w:rsidRPr="00813F6D">
              <w:rPr>
                <w:rFonts w:ascii="Times New Roman" w:hAnsi="Times New Roman" w:cs="Times New Roman"/>
                <w:sz w:val="24"/>
                <w:szCs w:val="24"/>
              </w:rPr>
              <w:t>28.12.998</w:t>
            </w:r>
          </w:p>
          <w:p w:rsidR="008C27A8" w:rsidRPr="00813F6D" w:rsidRDefault="008C27A8" w:rsidP="00A674E1">
            <w:pPr>
              <w:rPr>
                <w:rFonts w:ascii="Times New Roman" w:hAnsi="Times New Roman" w:cs="Times New Roman"/>
                <w:b/>
                <w:sz w:val="24"/>
                <w:szCs w:val="24"/>
              </w:rPr>
            </w:pPr>
            <w:r w:rsidRPr="00813F6D">
              <w:rPr>
                <w:rFonts w:ascii="Times New Roman" w:hAnsi="Times New Roman" w:cs="Times New Roman"/>
                <w:b/>
                <w:sz w:val="24"/>
                <w:szCs w:val="24"/>
              </w:rPr>
              <w:t>11/2006</w:t>
            </w:r>
          </w:p>
          <w:p w:rsidR="008C27A8" w:rsidRDefault="008C27A8" w:rsidP="00A674E1">
            <w:pPr>
              <w:rPr>
                <w:rFonts w:ascii="Courier New" w:hAnsi="Courier New" w:cs="Courier New"/>
                <w:b/>
                <w:sz w:val="24"/>
                <w:szCs w:val="24"/>
              </w:rPr>
            </w:pPr>
          </w:p>
        </w:tc>
        <w:tc>
          <w:tcPr>
            <w:tcW w:w="925" w:type="dxa"/>
          </w:tcPr>
          <w:p w:rsidR="008C27A8" w:rsidRPr="008E6416" w:rsidRDefault="008C27A8" w:rsidP="00A674E1">
            <w:pPr>
              <w:rPr>
                <w:rFonts w:ascii="Times New Roman" w:hAnsi="Times New Roman" w:cs="Times New Roman"/>
                <w:b/>
                <w:sz w:val="24"/>
                <w:szCs w:val="24"/>
              </w:rPr>
            </w:pPr>
            <w:r w:rsidRPr="008E6416">
              <w:rPr>
                <w:rFonts w:ascii="Times New Roman" w:hAnsi="Times New Roman" w:cs="Times New Roman"/>
                <w:sz w:val="24"/>
                <w:szCs w:val="24"/>
              </w:rPr>
              <w:t>35.</w:t>
            </w:r>
          </w:p>
        </w:tc>
        <w:tc>
          <w:tcPr>
            <w:tcW w:w="850" w:type="dxa"/>
          </w:tcPr>
          <w:p w:rsidR="008C27A8" w:rsidRPr="00DB6BC9" w:rsidRDefault="008C27A8" w:rsidP="00A674E1">
            <w:pPr>
              <w:rPr>
                <w:rFonts w:ascii="Times New Roman" w:hAnsi="Times New Roman" w:cs="Times New Roman"/>
                <w:sz w:val="24"/>
                <w:szCs w:val="24"/>
              </w:rPr>
            </w:pPr>
            <w:r w:rsidRPr="00DB6BC9">
              <w:rPr>
                <w:rFonts w:ascii="Times New Roman" w:hAnsi="Times New Roman" w:cs="Times New Roman"/>
                <w:sz w:val="24"/>
                <w:szCs w:val="24"/>
              </w:rPr>
              <w:t>(1)</w:t>
            </w:r>
          </w:p>
        </w:tc>
        <w:tc>
          <w:tcPr>
            <w:tcW w:w="6096" w:type="dxa"/>
          </w:tcPr>
          <w:p w:rsidR="008C27A8" w:rsidRPr="002453F6" w:rsidRDefault="008C27A8" w:rsidP="00A674E1">
            <w:pPr>
              <w:jc w:val="both"/>
            </w:pPr>
            <w:r w:rsidRPr="002453F6">
              <w:t>Mahkemede delil  olarak işlem görmek üzere ibraz edilen vergiye  bağlı herhangi bir enstrumanın hakkıyla pullanmış  olup olmadığı veya kifayetsizce pullanmış olup olmadığını saptamak ve bu  konuda yargıcı veya diğer bilirkişileri</w:t>
            </w:r>
            <w:r>
              <w:t xml:space="preserve"> uyarmak veya dikkatini çekmek </w:t>
            </w:r>
            <w:r w:rsidRPr="002453F6">
              <w:t>, mukayyit veya  mahkeme memurunun görevidir.</w:t>
            </w:r>
          </w:p>
          <w:p w:rsidR="008C27A8" w:rsidRDefault="008C27A8" w:rsidP="00A674E1">
            <w:r>
              <w:tab/>
            </w:r>
            <w:r w:rsidRPr="002453F6">
              <w:t>Enstrumanın düzenlenmesinden sonra yasal olarak  pullanabilen bir enstruman ödenmemiş verginin  bu Yasanın 20'nci maddesindeki kuralları uyarınca öd</w:t>
            </w:r>
            <w:r>
              <w:t>enmesi gereken cezanın ve 2,5</w:t>
            </w:r>
            <w:r w:rsidRPr="002453F6">
              <w:t>.-</w:t>
            </w:r>
            <w:r>
              <w:t>Y</w:t>
            </w:r>
            <w:r w:rsidRPr="002453F6">
              <w:t>TL . (</w:t>
            </w:r>
            <w:r>
              <w:t>İ</w:t>
            </w:r>
            <w:r w:rsidRPr="002453F6">
              <w:t xml:space="preserve">ki </w:t>
            </w:r>
            <w:r>
              <w:t xml:space="preserve">Yeni Türk </w:t>
            </w:r>
            <w:r w:rsidRPr="002453F6">
              <w:t>Liralı</w:t>
            </w:r>
            <w:r>
              <w:t>sı Elli Yeni Kuruş</w:t>
            </w:r>
            <w:r w:rsidRPr="002453F6">
              <w:t xml:space="preserve">) </w:t>
            </w:r>
          </w:p>
          <w:p w:rsidR="008C27A8" w:rsidRPr="008E6416" w:rsidRDefault="008C27A8" w:rsidP="00A674E1">
            <w:pPr>
              <w:rPr>
                <w:rFonts w:ascii="Times New Roman" w:hAnsi="Times New Roman" w:cs="Times New Roman"/>
                <w:b/>
                <w:sz w:val="24"/>
                <w:szCs w:val="24"/>
              </w:rPr>
            </w:pPr>
            <w:r w:rsidRPr="002453F6">
              <w:t xml:space="preserve">ek </w:t>
            </w:r>
            <w:r>
              <w:t>cezanın;</w:t>
            </w:r>
          </w:p>
        </w:tc>
      </w:tr>
      <w:tr w:rsidR="008C27A8" w:rsidTr="00A674E1">
        <w:trPr>
          <w:trHeight w:val="70"/>
        </w:trPr>
        <w:tc>
          <w:tcPr>
            <w:tcW w:w="2302" w:type="dxa"/>
          </w:tcPr>
          <w:p w:rsidR="008C27A8" w:rsidRDefault="008C27A8" w:rsidP="00A674E1">
            <w:pPr>
              <w:rPr>
                <w:rFonts w:ascii="Courier New" w:hAnsi="Courier New" w:cs="Courier New"/>
                <w:b/>
                <w:sz w:val="24"/>
                <w:szCs w:val="24"/>
              </w:rPr>
            </w:pPr>
          </w:p>
        </w:tc>
        <w:tc>
          <w:tcPr>
            <w:tcW w:w="925" w:type="dxa"/>
          </w:tcPr>
          <w:p w:rsidR="008C27A8" w:rsidRDefault="008C27A8" w:rsidP="00A674E1">
            <w:pPr>
              <w:rPr>
                <w:rFonts w:ascii="Courier New" w:hAnsi="Courier New" w:cs="Courier New"/>
                <w:b/>
                <w:sz w:val="24"/>
                <w:szCs w:val="24"/>
              </w:rPr>
            </w:pPr>
          </w:p>
        </w:tc>
        <w:tc>
          <w:tcPr>
            <w:tcW w:w="850" w:type="dxa"/>
          </w:tcPr>
          <w:p w:rsidR="008C27A8" w:rsidRDefault="008C27A8" w:rsidP="00A674E1">
            <w:pPr>
              <w:rPr>
                <w:rFonts w:ascii="Courier New" w:hAnsi="Courier New" w:cs="Courier New"/>
                <w:b/>
                <w:sz w:val="24"/>
                <w:szCs w:val="24"/>
              </w:rPr>
            </w:pPr>
          </w:p>
        </w:tc>
        <w:tc>
          <w:tcPr>
            <w:tcW w:w="6096" w:type="dxa"/>
          </w:tcPr>
          <w:p w:rsidR="008C27A8" w:rsidRPr="00506864" w:rsidRDefault="008C27A8" w:rsidP="00A674E1">
            <w:pPr>
              <w:tabs>
                <w:tab w:val="left" w:pos="1185"/>
              </w:tabs>
            </w:pPr>
            <w:r>
              <w:tab/>
            </w:r>
          </w:p>
        </w:tc>
      </w:tr>
      <w:tr w:rsidR="008C27A8" w:rsidTr="00A674E1">
        <w:tc>
          <w:tcPr>
            <w:tcW w:w="2302" w:type="dxa"/>
          </w:tcPr>
          <w:p w:rsidR="008C27A8" w:rsidRDefault="008C27A8" w:rsidP="00A674E1">
            <w:pPr>
              <w:rPr>
                <w:rFonts w:ascii="Courier New" w:hAnsi="Courier New" w:cs="Courier New"/>
                <w:b/>
                <w:sz w:val="24"/>
                <w:szCs w:val="24"/>
              </w:rPr>
            </w:pPr>
          </w:p>
        </w:tc>
        <w:tc>
          <w:tcPr>
            <w:tcW w:w="925" w:type="dxa"/>
          </w:tcPr>
          <w:p w:rsidR="008C27A8" w:rsidRDefault="008C27A8" w:rsidP="00A674E1">
            <w:pPr>
              <w:rPr>
                <w:rFonts w:ascii="Courier New" w:hAnsi="Courier New" w:cs="Courier New"/>
                <w:b/>
                <w:sz w:val="24"/>
                <w:szCs w:val="24"/>
              </w:rPr>
            </w:pPr>
          </w:p>
        </w:tc>
        <w:tc>
          <w:tcPr>
            <w:tcW w:w="850" w:type="dxa"/>
          </w:tcPr>
          <w:p w:rsidR="008C27A8" w:rsidRDefault="008C27A8" w:rsidP="00A674E1">
            <w:pPr>
              <w:rPr>
                <w:rFonts w:ascii="Courier New" w:hAnsi="Courier New" w:cs="Courier New"/>
                <w:b/>
                <w:sz w:val="24"/>
                <w:szCs w:val="24"/>
              </w:rPr>
            </w:pPr>
          </w:p>
        </w:tc>
        <w:tc>
          <w:tcPr>
            <w:tcW w:w="6096" w:type="dxa"/>
          </w:tcPr>
          <w:p w:rsidR="008C27A8" w:rsidRDefault="008C27A8" w:rsidP="00A674E1">
            <w:pPr>
              <w:rPr>
                <w:rFonts w:ascii="Courier New" w:hAnsi="Courier New" w:cs="Courier New"/>
                <w:b/>
                <w:sz w:val="24"/>
                <w:szCs w:val="24"/>
              </w:rPr>
            </w:pPr>
          </w:p>
          <w:p w:rsidR="008C27A8" w:rsidRPr="00341186" w:rsidRDefault="008C27A8" w:rsidP="00A674E1">
            <w:pPr>
              <w:pStyle w:val="ListParagraph"/>
              <w:numPr>
                <w:ilvl w:val="0"/>
                <w:numId w:val="1"/>
              </w:numPr>
              <w:rPr>
                <w:rFonts w:ascii="Times New Roman" w:hAnsi="Times New Roman" w:cs="Times New Roman"/>
                <w:sz w:val="24"/>
                <w:szCs w:val="24"/>
              </w:rPr>
            </w:pPr>
            <w:r w:rsidRPr="002453F6">
              <w:t>E</w:t>
            </w:r>
            <w:r>
              <w:t>n</w:t>
            </w:r>
            <w:r w:rsidRPr="002453F6">
              <w:t>strumanın mahkemede olması durumunda, mukayyit veya mahkeme memuru önünde ödenmesi üzerine; ve</w:t>
            </w:r>
          </w:p>
        </w:tc>
      </w:tr>
      <w:tr w:rsidR="008C27A8" w:rsidTr="00A674E1">
        <w:tc>
          <w:tcPr>
            <w:tcW w:w="2302" w:type="dxa"/>
          </w:tcPr>
          <w:p w:rsidR="008C27A8" w:rsidRDefault="008C27A8" w:rsidP="00A674E1">
            <w:pPr>
              <w:rPr>
                <w:rFonts w:ascii="Courier New" w:hAnsi="Courier New" w:cs="Courier New"/>
                <w:b/>
                <w:sz w:val="24"/>
                <w:szCs w:val="24"/>
              </w:rPr>
            </w:pPr>
          </w:p>
        </w:tc>
        <w:tc>
          <w:tcPr>
            <w:tcW w:w="925" w:type="dxa"/>
          </w:tcPr>
          <w:p w:rsidR="008C27A8" w:rsidRDefault="008C27A8" w:rsidP="00A674E1">
            <w:pPr>
              <w:rPr>
                <w:rFonts w:ascii="Courier New" w:hAnsi="Courier New" w:cs="Courier New"/>
                <w:b/>
                <w:sz w:val="24"/>
                <w:szCs w:val="24"/>
              </w:rPr>
            </w:pPr>
          </w:p>
        </w:tc>
        <w:tc>
          <w:tcPr>
            <w:tcW w:w="850" w:type="dxa"/>
          </w:tcPr>
          <w:p w:rsidR="008C27A8" w:rsidRDefault="008C27A8" w:rsidP="00A674E1">
            <w:pPr>
              <w:rPr>
                <w:rFonts w:ascii="Courier New" w:hAnsi="Courier New" w:cs="Courier New"/>
                <w:b/>
                <w:sz w:val="24"/>
                <w:szCs w:val="24"/>
              </w:rPr>
            </w:pPr>
          </w:p>
        </w:tc>
        <w:tc>
          <w:tcPr>
            <w:tcW w:w="6096" w:type="dxa"/>
          </w:tcPr>
          <w:p w:rsidR="008C27A8" w:rsidRPr="00341186" w:rsidRDefault="008C27A8" w:rsidP="00A674E1">
            <w:pPr>
              <w:rPr>
                <w:rFonts w:ascii="Times New Roman" w:hAnsi="Times New Roman" w:cs="Times New Roman"/>
                <w:sz w:val="24"/>
                <w:szCs w:val="24"/>
              </w:rPr>
            </w:pPr>
            <w:r>
              <w:rPr>
                <w:rFonts w:ascii="Times New Roman" w:hAnsi="Times New Roman" w:cs="Times New Roman"/>
                <w:sz w:val="24"/>
                <w:szCs w:val="24"/>
              </w:rPr>
              <w:t xml:space="preserve">       </w:t>
            </w:r>
            <w:r w:rsidRPr="00341186">
              <w:rPr>
                <w:rFonts w:ascii="Times New Roman" w:hAnsi="Times New Roman" w:cs="Times New Roman"/>
                <w:sz w:val="24"/>
                <w:szCs w:val="24"/>
              </w:rPr>
              <w:t>(b)</w:t>
            </w:r>
            <w:r>
              <w:rPr>
                <w:rFonts w:ascii="Times New Roman" w:hAnsi="Times New Roman" w:cs="Times New Roman"/>
                <w:sz w:val="24"/>
                <w:szCs w:val="24"/>
              </w:rPr>
              <w:t xml:space="preserve"> </w:t>
            </w:r>
            <w:r w:rsidRPr="002453F6">
              <w:t xml:space="preserve">Enstrumanın bir yargıç veya bilirkişi  önünde </w:t>
            </w:r>
            <w:r>
              <w:tab/>
            </w:r>
            <w:r w:rsidRPr="002453F6">
              <w:t xml:space="preserve">bulunması durumunda bir Gelir ve  Vergi Dairesi </w:t>
            </w:r>
            <w:r>
              <w:tab/>
            </w:r>
            <w:r w:rsidRPr="002453F6">
              <w:t>memuru önünde ödenmesi üzerine,</w:t>
            </w:r>
          </w:p>
        </w:tc>
      </w:tr>
      <w:tr w:rsidR="008C27A8" w:rsidTr="00A674E1">
        <w:tc>
          <w:tcPr>
            <w:tcW w:w="2302" w:type="dxa"/>
          </w:tcPr>
          <w:p w:rsidR="008C27A8" w:rsidRDefault="008C27A8" w:rsidP="00A674E1">
            <w:pPr>
              <w:rPr>
                <w:rFonts w:ascii="Courier New" w:hAnsi="Courier New" w:cs="Courier New"/>
                <w:b/>
                <w:sz w:val="24"/>
                <w:szCs w:val="24"/>
              </w:rPr>
            </w:pPr>
          </w:p>
        </w:tc>
        <w:tc>
          <w:tcPr>
            <w:tcW w:w="925" w:type="dxa"/>
          </w:tcPr>
          <w:p w:rsidR="008C27A8" w:rsidRDefault="008C27A8" w:rsidP="00A674E1">
            <w:pPr>
              <w:rPr>
                <w:rFonts w:ascii="Courier New" w:hAnsi="Courier New" w:cs="Courier New"/>
                <w:b/>
                <w:sz w:val="24"/>
                <w:szCs w:val="24"/>
              </w:rPr>
            </w:pPr>
          </w:p>
        </w:tc>
        <w:tc>
          <w:tcPr>
            <w:tcW w:w="850" w:type="dxa"/>
          </w:tcPr>
          <w:p w:rsidR="008C27A8" w:rsidRDefault="008C27A8" w:rsidP="00A674E1">
            <w:pPr>
              <w:rPr>
                <w:rFonts w:ascii="Courier New" w:hAnsi="Courier New" w:cs="Courier New"/>
                <w:b/>
                <w:sz w:val="24"/>
                <w:szCs w:val="24"/>
              </w:rPr>
            </w:pPr>
          </w:p>
        </w:tc>
        <w:tc>
          <w:tcPr>
            <w:tcW w:w="6096" w:type="dxa"/>
          </w:tcPr>
          <w:p w:rsidR="008C27A8" w:rsidRDefault="008C27A8" w:rsidP="00A674E1">
            <w:r w:rsidRPr="002453F6">
              <w:t xml:space="preserve">diğer maddelere bağlı bütün haklı istisnalar saklı kalmak koşuluyla delil olarak </w:t>
            </w:r>
            <w:smartTag w:uri="urn:schemas-microsoft-com:office:smarttags" w:element="City">
              <w:smartTag w:uri="urn:schemas-microsoft-com:office:smarttags" w:element="place">
                <w:r w:rsidRPr="002453F6">
                  <w:t>kabul</w:t>
                </w:r>
              </w:smartTag>
            </w:smartTag>
            <w:r w:rsidRPr="002453F6">
              <w:t xml:space="preserve"> edilebilir</w:t>
            </w:r>
            <w:r>
              <w:t>.</w:t>
            </w:r>
          </w:p>
          <w:p w:rsidR="008C27A8" w:rsidRDefault="008C27A8" w:rsidP="00A674E1">
            <w:pPr>
              <w:rPr>
                <w:rFonts w:ascii="Courier New" w:hAnsi="Courier New" w:cs="Courier New"/>
                <w:b/>
                <w:sz w:val="24"/>
                <w:szCs w:val="24"/>
              </w:rPr>
            </w:pPr>
          </w:p>
        </w:tc>
      </w:tr>
      <w:tr w:rsidR="008C27A8" w:rsidTr="00A674E1">
        <w:tc>
          <w:tcPr>
            <w:tcW w:w="2302" w:type="dxa"/>
          </w:tcPr>
          <w:p w:rsidR="008C27A8" w:rsidRDefault="008C27A8" w:rsidP="00A674E1">
            <w:pPr>
              <w:rPr>
                <w:rFonts w:ascii="Courier New" w:hAnsi="Courier New" w:cs="Courier New"/>
                <w:b/>
                <w:sz w:val="24"/>
                <w:szCs w:val="24"/>
              </w:rPr>
            </w:pPr>
          </w:p>
        </w:tc>
        <w:tc>
          <w:tcPr>
            <w:tcW w:w="925" w:type="dxa"/>
          </w:tcPr>
          <w:p w:rsidR="008C27A8" w:rsidRDefault="008C27A8" w:rsidP="00A674E1">
            <w:pPr>
              <w:rPr>
                <w:rFonts w:ascii="Courier New" w:hAnsi="Courier New" w:cs="Courier New"/>
                <w:b/>
                <w:sz w:val="24"/>
                <w:szCs w:val="24"/>
              </w:rPr>
            </w:pPr>
          </w:p>
        </w:tc>
        <w:tc>
          <w:tcPr>
            <w:tcW w:w="850" w:type="dxa"/>
          </w:tcPr>
          <w:p w:rsidR="008C27A8" w:rsidRPr="00731792" w:rsidRDefault="008C27A8" w:rsidP="00A674E1">
            <w:pPr>
              <w:rPr>
                <w:rFonts w:ascii="Times New Roman" w:hAnsi="Times New Roman" w:cs="Times New Roman"/>
                <w:sz w:val="24"/>
                <w:szCs w:val="24"/>
              </w:rPr>
            </w:pPr>
            <w:r w:rsidRPr="00731792">
              <w:rPr>
                <w:rFonts w:ascii="Times New Roman" w:hAnsi="Times New Roman" w:cs="Times New Roman"/>
                <w:sz w:val="24"/>
                <w:szCs w:val="24"/>
              </w:rPr>
              <w:t>(2)</w:t>
            </w:r>
          </w:p>
        </w:tc>
        <w:tc>
          <w:tcPr>
            <w:tcW w:w="6096" w:type="dxa"/>
          </w:tcPr>
          <w:p w:rsidR="008C27A8" w:rsidRDefault="008C27A8" w:rsidP="00A674E1">
            <w:pPr>
              <w:jc w:val="both"/>
            </w:pPr>
            <w:r>
              <w:t xml:space="preserve">Pullanmamış veya kifayetsizce pullanmış bir vesikanın, </w:t>
            </w:r>
          </w:p>
          <w:p w:rsidR="008C27A8" w:rsidRDefault="008C27A8" w:rsidP="00A674E1">
            <w:pPr>
              <w:jc w:val="both"/>
            </w:pPr>
            <w:r>
              <w:t xml:space="preserve">herhangi bir Mahkemedeki herhangi bir dava veya </w:t>
            </w:r>
          </w:p>
          <w:p w:rsidR="008C27A8" w:rsidRDefault="008C27A8" w:rsidP="00A674E1">
            <w:pPr>
              <w:jc w:val="both"/>
            </w:pPr>
            <w:r>
              <w:t xml:space="preserve">muamelede, ödenmemiş pul vergisi ve bir evvelki fıkrada </w:t>
            </w:r>
          </w:p>
          <w:p w:rsidR="008C27A8" w:rsidRDefault="008C27A8" w:rsidP="00A674E1">
            <w:pPr>
              <w:jc w:val="both"/>
            </w:pPr>
            <w:r>
              <w:t xml:space="preserve">tâyin edilen ceza ödenmeksizin, delil olarak kabul edilmesi halinde, bu gibi vesikanın delil olarak önünde kabul edildiği  Mahkeme veya Hâkim, bu gibi vesikayı ibraz eden veya bu </w:t>
            </w:r>
          </w:p>
          <w:p w:rsidR="008C27A8" w:rsidRDefault="008C27A8" w:rsidP="00A674E1">
            <w:pPr>
              <w:jc w:val="both"/>
            </w:pPr>
            <w:r>
              <w:t xml:space="preserve">gibi vesikanın onun adına ibraz edildiği şahsa, bu gibi şahsın ödenmemiş pul vergisini ve cezayı, bu gibi bildiride  gösterilen müddet zarfında ödemesini talep eden yazılı bir bildirinin </w:t>
            </w:r>
          </w:p>
          <w:p w:rsidR="008C27A8" w:rsidRDefault="008C27A8" w:rsidP="00A674E1">
            <w:pPr>
              <w:jc w:val="both"/>
            </w:pPr>
            <w:r>
              <w:t xml:space="preserve">tebliğ edilmesini herhangi bir zamanda sağlamak yetkisine haizdir; ve bu gibi bildiride gösterilen müddet zarfında bu gibi ödemenin yapılmaması üzerine, bu gibi bildirinin kendisine </w:t>
            </w:r>
          </w:p>
          <w:p w:rsidR="008C27A8" w:rsidRDefault="008C27A8" w:rsidP="00A674E1">
            <w:pPr>
              <w:jc w:val="both"/>
              <w:rPr>
                <w:rFonts w:ascii="Courier New" w:hAnsi="Courier New" w:cs="Courier New"/>
                <w:b/>
                <w:sz w:val="24"/>
                <w:szCs w:val="24"/>
              </w:rPr>
            </w:pPr>
            <w:r>
              <w:t>tebliğ edildiği şahıs,  bir suç işlemiş olur ve hüküm giymesi halinde, bu şekilde ödenmemiş miktarın iki mislini ödemeye mâruz kalır.</w:t>
            </w:r>
          </w:p>
        </w:tc>
      </w:tr>
      <w:tr w:rsidR="008C27A8" w:rsidTr="00A674E1">
        <w:tc>
          <w:tcPr>
            <w:tcW w:w="2302" w:type="dxa"/>
          </w:tcPr>
          <w:p w:rsidR="008C27A8" w:rsidRDefault="008C27A8" w:rsidP="00A674E1">
            <w:pPr>
              <w:rPr>
                <w:rFonts w:ascii="Courier New" w:hAnsi="Courier New" w:cs="Courier New"/>
                <w:b/>
                <w:sz w:val="24"/>
                <w:szCs w:val="24"/>
              </w:rPr>
            </w:pPr>
          </w:p>
        </w:tc>
        <w:tc>
          <w:tcPr>
            <w:tcW w:w="925" w:type="dxa"/>
          </w:tcPr>
          <w:p w:rsidR="008C27A8" w:rsidRDefault="008C27A8" w:rsidP="00A674E1">
            <w:pPr>
              <w:rPr>
                <w:rFonts w:ascii="Courier New" w:hAnsi="Courier New" w:cs="Courier New"/>
                <w:b/>
                <w:sz w:val="24"/>
                <w:szCs w:val="24"/>
              </w:rPr>
            </w:pPr>
          </w:p>
        </w:tc>
        <w:tc>
          <w:tcPr>
            <w:tcW w:w="850" w:type="dxa"/>
          </w:tcPr>
          <w:p w:rsidR="008C27A8" w:rsidRPr="0074603F" w:rsidRDefault="008C27A8" w:rsidP="00A674E1">
            <w:pPr>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8C27A8" w:rsidRDefault="008C27A8" w:rsidP="00A674E1">
            <w:r>
              <w:t xml:space="preserve">Hâkimin, herhangi bir vesika hususunda bir pulun lüzumu veya kifayeti veya herhangi bir vesika hususunda pul vergisi </w:t>
            </w:r>
          </w:p>
          <w:p w:rsidR="008C27A8" w:rsidRDefault="008C27A8" w:rsidP="00A674E1">
            <w:pPr>
              <w:rPr>
                <w:rFonts w:ascii="Courier New" w:hAnsi="Courier New" w:cs="Courier New"/>
                <w:b/>
                <w:sz w:val="24"/>
                <w:szCs w:val="24"/>
              </w:rPr>
            </w:pPr>
            <w:r>
              <w:t xml:space="preserve">olarak ödenmesi gereken miktar hakkındaki kararı kat’idir.  </w:t>
            </w:r>
          </w:p>
        </w:tc>
      </w:tr>
    </w:tbl>
    <w:p w:rsidR="008C27A8" w:rsidRDefault="008C27A8" w:rsidP="008C27A8">
      <w:pPr>
        <w:rPr>
          <w:rFonts w:ascii="Courier New" w:hAnsi="Courier New" w:cs="Courier New"/>
          <w:b/>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992"/>
        <w:gridCol w:w="6237"/>
      </w:tblGrid>
      <w:tr w:rsidR="008C27A8" w:rsidTr="00A674E1">
        <w:tc>
          <w:tcPr>
            <w:tcW w:w="2235" w:type="dxa"/>
          </w:tcPr>
          <w:p w:rsidR="008C27A8" w:rsidRDefault="008C27A8" w:rsidP="00A674E1">
            <w:pPr>
              <w:rPr>
                <w:rFonts w:ascii="Times New Roman" w:hAnsi="Times New Roman" w:cs="Times New Roman"/>
                <w:sz w:val="24"/>
                <w:szCs w:val="24"/>
              </w:rPr>
            </w:pPr>
            <w:r>
              <w:rPr>
                <w:rFonts w:ascii="Times New Roman" w:hAnsi="Times New Roman" w:cs="Times New Roman"/>
                <w:sz w:val="24"/>
                <w:szCs w:val="24"/>
              </w:rPr>
              <w:t xml:space="preserve">Pullanmamış </w:t>
            </w:r>
          </w:p>
          <w:p w:rsidR="008C27A8" w:rsidRDefault="008C27A8" w:rsidP="00A674E1">
            <w:pPr>
              <w:rPr>
                <w:rFonts w:ascii="Times New Roman" w:hAnsi="Times New Roman" w:cs="Times New Roman"/>
                <w:sz w:val="24"/>
                <w:szCs w:val="24"/>
              </w:rPr>
            </w:pPr>
            <w:r>
              <w:rPr>
                <w:rFonts w:ascii="Times New Roman" w:hAnsi="Times New Roman" w:cs="Times New Roman"/>
                <w:sz w:val="24"/>
                <w:szCs w:val="24"/>
              </w:rPr>
              <w:t>enstruman-</w:t>
            </w:r>
          </w:p>
          <w:p w:rsidR="008C27A8" w:rsidRDefault="008C27A8" w:rsidP="00A674E1">
            <w:pPr>
              <w:rPr>
                <w:rFonts w:ascii="Times New Roman" w:hAnsi="Times New Roman" w:cs="Times New Roman"/>
                <w:sz w:val="24"/>
                <w:szCs w:val="24"/>
              </w:rPr>
            </w:pPr>
            <w:r>
              <w:rPr>
                <w:rFonts w:ascii="Times New Roman" w:hAnsi="Times New Roman" w:cs="Times New Roman"/>
                <w:sz w:val="24"/>
                <w:szCs w:val="24"/>
              </w:rPr>
              <w:t xml:space="preserve">ların delil </w:t>
            </w:r>
          </w:p>
          <w:p w:rsidR="008C27A8" w:rsidRDefault="008C27A8" w:rsidP="00A674E1">
            <w:pPr>
              <w:rPr>
                <w:rFonts w:ascii="Times New Roman" w:hAnsi="Times New Roman" w:cs="Times New Roman"/>
                <w:sz w:val="24"/>
                <w:szCs w:val="24"/>
              </w:rPr>
            </w:pPr>
            <w:r>
              <w:rPr>
                <w:rFonts w:ascii="Times New Roman" w:hAnsi="Times New Roman" w:cs="Times New Roman"/>
                <w:sz w:val="24"/>
                <w:szCs w:val="24"/>
              </w:rPr>
              <w:t>olarak kabul</w:t>
            </w:r>
          </w:p>
          <w:p w:rsidR="008C27A8" w:rsidRDefault="008C27A8" w:rsidP="00A674E1">
            <w:pPr>
              <w:rPr>
                <w:rFonts w:ascii="Times New Roman" w:hAnsi="Times New Roman" w:cs="Times New Roman"/>
                <w:sz w:val="24"/>
                <w:szCs w:val="24"/>
              </w:rPr>
            </w:pPr>
            <w:r>
              <w:rPr>
                <w:rFonts w:ascii="Times New Roman" w:hAnsi="Times New Roman" w:cs="Times New Roman"/>
                <w:sz w:val="24"/>
                <w:szCs w:val="24"/>
              </w:rPr>
              <w:t>edilmemesi,</w:t>
            </w:r>
          </w:p>
          <w:p w:rsidR="008C27A8" w:rsidRPr="00053CE0" w:rsidRDefault="008C27A8" w:rsidP="00A674E1">
            <w:pPr>
              <w:rPr>
                <w:rFonts w:ascii="Times New Roman" w:hAnsi="Times New Roman" w:cs="Times New Roman"/>
                <w:sz w:val="24"/>
                <w:szCs w:val="24"/>
              </w:rPr>
            </w:pPr>
            <w:r>
              <w:rPr>
                <w:rFonts w:ascii="Times New Roman" w:hAnsi="Times New Roman" w:cs="Times New Roman"/>
                <w:sz w:val="24"/>
                <w:szCs w:val="24"/>
              </w:rPr>
              <w:t>v.s.</w:t>
            </w:r>
          </w:p>
        </w:tc>
        <w:tc>
          <w:tcPr>
            <w:tcW w:w="992" w:type="dxa"/>
          </w:tcPr>
          <w:p w:rsidR="008C27A8" w:rsidRPr="004F4554" w:rsidRDefault="008C27A8" w:rsidP="00A674E1">
            <w:pPr>
              <w:rPr>
                <w:rFonts w:ascii="Times New Roman" w:hAnsi="Times New Roman" w:cs="Times New Roman"/>
                <w:sz w:val="24"/>
                <w:szCs w:val="24"/>
              </w:rPr>
            </w:pPr>
            <w:r>
              <w:rPr>
                <w:rFonts w:ascii="Times New Roman" w:hAnsi="Times New Roman" w:cs="Times New Roman"/>
                <w:sz w:val="24"/>
                <w:szCs w:val="24"/>
              </w:rPr>
              <w:t>36.</w:t>
            </w:r>
          </w:p>
        </w:tc>
        <w:tc>
          <w:tcPr>
            <w:tcW w:w="6237" w:type="dxa"/>
          </w:tcPr>
          <w:p w:rsidR="008C27A8" w:rsidRDefault="008C27A8" w:rsidP="00A674E1">
            <w:pPr>
              <w:rPr>
                <w:rFonts w:ascii="Courier New" w:hAnsi="Courier New" w:cs="Courier New"/>
                <w:b/>
                <w:sz w:val="24"/>
                <w:szCs w:val="24"/>
              </w:rPr>
            </w:pPr>
            <w:r>
              <w:t>35’inci madde hükümleri mahfuz kalmak şartıyla, herhangi bir vergiye tabi hiç bir enstruman, ceza muameleleri dışında,  bu Yasa hükümlerine göre hakkıyle pullanmadıkça, delil olarak gösterilmez veya herhangi bir maksat için kulanılmaz.</w:t>
            </w:r>
          </w:p>
        </w:tc>
      </w:tr>
    </w:tbl>
    <w:p w:rsidR="008C27A8" w:rsidRDefault="008C27A8" w:rsidP="008C27A8">
      <w:pPr>
        <w:rPr>
          <w:rFonts w:ascii="Courier New" w:hAnsi="Courier New" w:cs="Courier New"/>
          <w:b/>
          <w:sz w:val="24"/>
          <w:szCs w:val="24"/>
        </w:rPr>
      </w:pPr>
    </w:p>
    <w:p w:rsidR="008C27A8" w:rsidRPr="003511B6" w:rsidRDefault="008C27A8" w:rsidP="008C27A8">
      <w:pPr>
        <w:spacing w:line="240" w:lineRule="auto"/>
        <w:rPr>
          <w:rFonts w:ascii="Courier New" w:hAnsi="Courier New" w:cs="Courier New"/>
          <w:b/>
          <w:sz w:val="24"/>
          <w:szCs w:val="24"/>
        </w:rPr>
      </w:pPr>
    </w:p>
    <w:p w:rsidR="008C27A8" w:rsidRPr="00C472F7" w:rsidRDefault="008C27A8" w:rsidP="008C27A8">
      <w:pPr>
        <w:spacing w:line="360" w:lineRule="auto"/>
        <w:rPr>
          <w:rFonts w:ascii="Courier New" w:hAnsi="Courier New" w:cs="Courier New"/>
          <w:sz w:val="24"/>
          <w:szCs w:val="24"/>
        </w:rPr>
      </w:pPr>
      <w:r w:rsidRPr="00C472F7">
        <w:rPr>
          <w:rFonts w:ascii="Courier New" w:hAnsi="Courier New" w:cs="Courier New"/>
          <w:sz w:val="24"/>
          <w:szCs w:val="24"/>
        </w:rPr>
        <w:t>Kuzey Kıbrıs Türk Cumhuriyeti Anayasası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0"/>
      </w:tblGrid>
      <w:tr w:rsidR="008C27A8" w:rsidTr="00A674E1">
        <w:tc>
          <w:tcPr>
            <w:tcW w:w="9210" w:type="dxa"/>
          </w:tcPr>
          <w:p w:rsidR="008C27A8" w:rsidRDefault="008C27A8" w:rsidP="00A674E1">
            <w:pPr>
              <w:pStyle w:val="Heading3"/>
              <w:ind w:left="0"/>
              <w:outlineLvl w:val="2"/>
              <w:rPr>
                <w:rFonts w:ascii="Times New Roman" w:hAnsi="Times New Roman" w:cs="Times New Roman"/>
                <w:lang w:val="tr-TR"/>
              </w:rPr>
            </w:pPr>
          </w:p>
          <w:p w:rsidR="008C27A8" w:rsidRPr="000E4DA0" w:rsidRDefault="008C27A8" w:rsidP="00A674E1">
            <w:pPr>
              <w:pStyle w:val="Heading3"/>
              <w:outlineLvl w:val="2"/>
              <w:rPr>
                <w:bCs w:val="0"/>
                <w:lang w:val="tr-TR"/>
              </w:rPr>
            </w:pPr>
            <w:r>
              <w:rPr>
                <w:rFonts w:ascii="Times New Roman" w:hAnsi="Times New Roman" w:cs="Times New Roman"/>
                <w:lang w:val="tr-TR"/>
              </w:rPr>
              <w:tab/>
            </w:r>
            <w:r w:rsidRPr="000E4DA0">
              <w:rPr>
                <w:rFonts w:ascii="Times New Roman" w:hAnsi="Times New Roman" w:cs="Times New Roman"/>
                <w:lang w:val="tr-TR"/>
              </w:rPr>
              <w:t>M</w:t>
            </w:r>
            <w:r w:rsidRPr="000E4DA0">
              <w:rPr>
                <w:bCs w:val="0"/>
                <w:lang w:val="tr-TR"/>
              </w:rPr>
              <w:t>adde 1</w:t>
            </w:r>
          </w:p>
          <w:p w:rsidR="008C27A8" w:rsidRDefault="008C27A8" w:rsidP="00A674E1">
            <w:pPr>
              <w:jc w:val="both"/>
            </w:pPr>
            <w:r>
              <w:rPr>
                <w:b/>
                <w:bCs/>
              </w:rPr>
              <w:tab/>
            </w:r>
            <w:r>
              <w:t>Kuzey Kıbrıs Türk Cumhuriyeti Devleti, demokrasi, sosyal adalet ve hukukun üstünlüğü ilkelerine dayanan laik bir Cumhuriyettir.</w:t>
            </w:r>
          </w:p>
          <w:p w:rsidR="008C27A8" w:rsidRDefault="008C27A8" w:rsidP="00A674E1">
            <w:pPr>
              <w:rPr>
                <w:rFonts w:ascii="Courier New" w:hAnsi="Courier New" w:cs="Courier New"/>
                <w:b/>
                <w:sz w:val="24"/>
                <w:szCs w:val="24"/>
              </w:rPr>
            </w:pPr>
          </w:p>
          <w:p w:rsidR="008C27A8" w:rsidRDefault="008C27A8" w:rsidP="00A674E1">
            <w:pPr>
              <w:rPr>
                <w:rFonts w:ascii="Courier New" w:hAnsi="Courier New" w:cs="Courier New"/>
                <w:b/>
                <w:sz w:val="24"/>
                <w:szCs w:val="24"/>
              </w:rPr>
            </w:pPr>
          </w:p>
        </w:tc>
      </w:tr>
      <w:tr w:rsidR="008C27A8" w:rsidTr="00A6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tcBorders>
              <w:top w:val="nil"/>
              <w:left w:val="nil"/>
              <w:bottom w:val="nil"/>
              <w:right w:val="nil"/>
            </w:tcBorders>
          </w:tcPr>
          <w:p w:rsidR="008C27A8" w:rsidRPr="000E4DA0" w:rsidRDefault="008C27A8" w:rsidP="00A674E1">
            <w:pPr>
              <w:pStyle w:val="Heading3"/>
              <w:ind w:left="0"/>
              <w:outlineLvl w:val="2"/>
              <w:rPr>
                <w:bCs w:val="0"/>
                <w:lang w:val="tr-TR"/>
              </w:rPr>
            </w:pPr>
            <w:r>
              <w:rPr>
                <w:rFonts w:ascii="Times New Roman" w:hAnsi="Times New Roman" w:cs="Times New Roman"/>
                <w:lang w:val="tr-TR"/>
              </w:rPr>
              <w:tab/>
            </w:r>
            <w:r w:rsidRPr="000E4DA0">
              <w:rPr>
                <w:bCs w:val="0"/>
                <w:lang w:val="tr-TR"/>
              </w:rPr>
              <w:t>Madde 17</w:t>
            </w:r>
          </w:p>
          <w:p w:rsidR="008C27A8" w:rsidRDefault="008C27A8" w:rsidP="00A674E1">
            <w:pPr>
              <w:tabs>
                <w:tab w:val="left" w:pos="709"/>
                <w:tab w:val="left" w:pos="1134"/>
                <w:tab w:val="left" w:pos="1560"/>
              </w:tabs>
              <w:ind w:left="1132" w:hanging="426"/>
              <w:jc w:val="both"/>
            </w:pPr>
            <w:r>
              <w:t>(1)</w:t>
            </w:r>
            <w:r>
              <w:tab/>
              <w:t>.............................................................................................................................</w:t>
            </w:r>
          </w:p>
          <w:p w:rsidR="008C27A8" w:rsidRDefault="008C27A8" w:rsidP="00A674E1">
            <w:pPr>
              <w:tabs>
                <w:tab w:val="left" w:pos="709"/>
                <w:tab w:val="left" w:pos="1134"/>
                <w:tab w:val="left" w:pos="1560"/>
              </w:tabs>
              <w:ind w:left="1132" w:hanging="426"/>
              <w:jc w:val="both"/>
            </w:pPr>
            <w:r>
              <w:t>(2)</w:t>
            </w:r>
            <w:r>
              <w:tab/>
              <w:t>.............................................................................................................................</w:t>
            </w:r>
          </w:p>
          <w:p w:rsidR="008C27A8" w:rsidRDefault="008C27A8" w:rsidP="00A674E1">
            <w:pPr>
              <w:tabs>
                <w:tab w:val="left" w:pos="709"/>
                <w:tab w:val="left" w:pos="1134"/>
                <w:tab w:val="left" w:pos="1560"/>
              </w:tabs>
              <w:ind w:left="1132" w:hanging="426"/>
              <w:jc w:val="both"/>
            </w:pPr>
            <w:r>
              <w:t>(3)</w:t>
            </w:r>
            <w:r>
              <w:tab/>
              <w:t>.............................................................................................................................</w:t>
            </w:r>
          </w:p>
          <w:p w:rsidR="008C27A8" w:rsidRDefault="008C27A8" w:rsidP="00A674E1">
            <w:pPr>
              <w:tabs>
                <w:tab w:val="left" w:pos="709"/>
                <w:tab w:val="left" w:pos="1134"/>
                <w:tab w:val="left" w:pos="1560"/>
              </w:tabs>
              <w:ind w:left="1132" w:hanging="426"/>
              <w:jc w:val="both"/>
            </w:pPr>
            <w:r>
              <w:t>(4)</w:t>
            </w:r>
            <w:r>
              <w:tab/>
            </w:r>
            <w:r>
              <w:rPr>
                <w:b/>
                <w:bCs/>
              </w:rPr>
              <w:t>Herkes,</w:t>
            </w:r>
          </w:p>
          <w:p w:rsidR="008C27A8" w:rsidRDefault="008C27A8" w:rsidP="00A674E1">
            <w:pPr>
              <w:tabs>
                <w:tab w:val="left" w:pos="709"/>
                <w:tab w:val="left" w:pos="1134"/>
                <w:tab w:val="left" w:pos="1560"/>
              </w:tabs>
              <w:ind w:left="1560" w:hanging="426"/>
              <w:jc w:val="both"/>
            </w:pPr>
            <w:r>
              <w:t>(a)</w:t>
            </w:r>
            <w:r>
              <w:tab/>
              <w:t>.......................................................................................................................</w:t>
            </w:r>
          </w:p>
          <w:p w:rsidR="008C27A8" w:rsidRDefault="008C27A8" w:rsidP="00A674E1">
            <w:pPr>
              <w:tabs>
                <w:tab w:val="left" w:pos="709"/>
                <w:tab w:val="left" w:pos="1134"/>
                <w:tab w:val="left" w:pos="1560"/>
              </w:tabs>
              <w:ind w:left="1560" w:hanging="426"/>
              <w:jc w:val="both"/>
            </w:pPr>
            <w:r>
              <w:t>(b)</w:t>
            </w:r>
            <w:r>
              <w:tab/>
              <w:t>.......................................................................................................................</w:t>
            </w:r>
          </w:p>
          <w:p w:rsidR="008C27A8" w:rsidRDefault="008C27A8" w:rsidP="00A674E1">
            <w:pPr>
              <w:tabs>
                <w:tab w:val="left" w:pos="709"/>
                <w:tab w:val="left" w:pos="1134"/>
                <w:tab w:val="left" w:pos="1560"/>
              </w:tabs>
              <w:ind w:left="1560" w:hanging="426"/>
              <w:jc w:val="both"/>
            </w:pPr>
            <w:r>
              <w:t>(c)</w:t>
            </w:r>
            <w:r>
              <w:tab/>
              <w:t>Delillerini göstermek veya göstertmek veya tanıkların yasaya uygun olarak doğrudan doğruya sorguya çekilmesini istemek;</w:t>
            </w:r>
          </w:p>
          <w:p w:rsidR="008C27A8" w:rsidRDefault="008C27A8" w:rsidP="00A674E1">
            <w:pPr>
              <w:tabs>
                <w:tab w:val="left" w:pos="709"/>
                <w:tab w:val="left" w:pos="1134"/>
                <w:tab w:val="left" w:pos="1560"/>
              </w:tabs>
              <w:ind w:left="1560" w:hanging="426"/>
              <w:jc w:val="both"/>
            </w:pPr>
            <w:r>
              <w:t>(ç)</w:t>
            </w:r>
            <w:r>
              <w:tab/>
              <w:t>..........................................................................................................................</w:t>
            </w:r>
          </w:p>
          <w:p w:rsidR="008C27A8" w:rsidRDefault="008C27A8" w:rsidP="00A674E1">
            <w:pPr>
              <w:tabs>
                <w:tab w:val="left" w:pos="709"/>
                <w:tab w:val="left" w:pos="1134"/>
                <w:tab w:val="left" w:pos="1560"/>
              </w:tabs>
              <w:ind w:left="1560" w:hanging="426"/>
              <w:jc w:val="both"/>
            </w:pPr>
            <w:r>
              <w:t>(d)</w:t>
            </w:r>
            <w:r>
              <w:tab/>
              <w:t>..........................................................................................................................</w:t>
            </w:r>
          </w:p>
          <w:p w:rsidR="008C27A8" w:rsidRDefault="008C27A8" w:rsidP="00A674E1">
            <w:pPr>
              <w:tabs>
                <w:tab w:val="left" w:pos="709"/>
                <w:tab w:val="left" w:pos="1134"/>
                <w:tab w:val="left" w:pos="1560"/>
              </w:tabs>
              <w:ind w:left="1134"/>
              <w:jc w:val="both"/>
              <w:rPr>
                <w:b/>
                <w:bCs/>
              </w:rPr>
            </w:pPr>
            <w:r>
              <w:rPr>
                <w:b/>
                <w:bCs/>
              </w:rPr>
              <w:t>hakkına sahiptir.</w:t>
            </w:r>
          </w:p>
          <w:p w:rsidR="008C27A8" w:rsidRDefault="008C27A8" w:rsidP="00A674E1">
            <w:pPr>
              <w:rPr>
                <w:rFonts w:ascii="Courier New" w:hAnsi="Courier New" w:cs="Courier New"/>
                <w:b/>
                <w:sz w:val="24"/>
                <w:szCs w:val="24"/>
              </w:rPr>
            </w:pPr>
          </w:p>
          <w:p w:rsidR="008C27A8" w:rsidRDefault="008C27A8" w:rsidP="00A674E1">
            <w:pPr>
              <w:rPr>
                <w:rFonts w:ascii="Courier New" w:hAnsi="Courier New" w:cs="Courier New"/>
                <w:b/>
                <w:sz w:val="24"/>
                <w:szCs w:val="24"/>
              </w:rPr>
            </w:pPr>
          </w:p>
        </w:tc>
      </w:tr>
    </w:tbl>
    <w:p w:rsidR="008C27A8" w:rsidRDefault="008C27A8" w:rsidP="008C27A8">
      <w:pPr>
        <w:spacing w:line="360" w:lineRule="auto"/>
        <w:rPr>
          <w:rFonts w:ascii="Courier New" w:hAnsi="Courier New" w:cs="Courier New"/>
          <w:sz w:val="24"/>
          <w:szCs w:val="24"/>
        </w:rPr>
      </w:pPr>
      <w:r>
        <w:rPr>
          <w:rFonts w:ascii="Courier New" w:hAnsi="Courier New" w:cs="Courier New"/>
          <w:sz w:val="24"/>
          <w:szCs w:val="24"/>
        </w:rPr>
        <w:tab/>
        <w:t xml:space="preserve">Anayasa, 17(4)(c) maddesi ile herkese delillerini gösterme veya göstertme hakkını tanımıştır. 19/1963 sayılı Pul Yasası’nın 35 ve 36. maddelerinde ise, vergiye tabi bir enstrümanın </w:t>
      </w:r>
      <w:r w:rsidRPr="00371DC4">
        <w:rPr>
          <w:rFonts w:ascii="Courier New" w:hAnsi="Courier New" w:cs="Courier New"/>
          <w:sz w:val="24"/>
          <w:szCs w:val="24"/>
        </w:rPr>
        <w:t>yeterince pullanarak</w:t>
      </w:r>
      <w:r>
        <w:rPr>
          <w:rFonts w:ascii="Courier New" w:hAnsi="Courier New" w:cs="Courier New"/>
          <w:sz w:val="24"/>
          <w:szCs w:val="24"/>
        </w:rPr>
        <w:t xml:space="preserve"> vergisi ödenmedikçe, delil olarak gösterilemeyeceği düzenlenmiştir. Konu Yasa’nın 35 ve 36. maddeleri, vergiye tabi ancak vergisi ödenmemiş bir enstrümanın delil olarak gösterilebilmesini, vergisinin ödenmesi önkoşuluna bağlıyor.</w:t>
      </w:r>
    </w:p>
    <w:p w:rsidR="008C27A8" w:rsidRDefault="008C27A8" w:rsidP="008C27A8">
      <w:pPr>
        <w:spacing w:line="240" w:lineRule="auto"/>
        <w:rPr>
          <w:rFonts w:ascii="Courier New" w:hAnsi="Courier New" w:cs="Courier New"/>
          <w:sz w:val="24"/>
          <w:szCs w:val="24"/>
        </w:rPr>
      </w:pPr>
    </w:p>
    <w:p w:rsidR="008C27A8" w:rsidRPr="00B643CB" w:rsidRDefault="008C27A8" w:rsidP="008C27A8">
      <w:pPr>
        <w:spacing w:line="360" w:lineRule="auto"/>
        <w:rPr>
          <w:rFonts w:ascii="Courier New" w:hAnsi="Courier New" w:cs="Courier New"/>
          <w:sz w:val="24"/>
          <w:szCs w:val="24"/>
        </w:rPr>
      </w:pPr>
      <w:r w:rsidRPr="00B643CB">
        <w:rPr>
          <w:rFonts w:ascii="Courier New" w:hAnsi="Courier New" w:cs="Courier New"/>
          <w:sz w:val="24"/>
          <w:szCs w:val="24"/>
        </w:rPr>
        <w:tab/>
        <w:t>Özellikle sosyal adalet ilkesini benimsemiş bir devletin</w:t>
      </w:r>
      <w:r>
        <w:rPr>
          <w:rFonts w:ascii="Courier New" w:hAnsi="Courier New" w:cs="Courier New"/>
          <w:sz w:val="24"/>
          <w:szCs w:val="24"/>
        </w:rPr>
        <w:t>,</w:t>
      </w:r>
      <w:r w:rsidRPr="00B643CB">
        <w:rPr>
          <w:rFonts w:ascii="Courier New" w:hAnsi="Courier New" w:cs="Courier New"/>
          <w:sz w:val="24"/>
          <w:szCs w:val="24"/>
        </w:rPr>
        <w:t xml:space="preserve"> toprakları üzerinde yaşayan kişilere hizmet sunma yükümlülüğü vardır. Devletin kamu hizmeti sunması</w:t>
      </w:r>
      <w:r>
        <w:rPr>
          <w:rFonts w:ascii="Courier New" w:hAnsi="Courier New" w:cs="Courier New"/>
          <w:sz w:val="24"/>
          <w:szCs w:val="24"/>
        </w:rPr>
        <w:t>,</w:t>
      </w:r>
      <w:r w:rsidRPr="00B643CB">
        <w:rPr>
          <w:rFonts w:ascii="Courier New" w:hAnsi="Courier New" w:cs="Courier New"/>
          <w:sz w:val="24"/>
          <w:szCs w:val="24"/>
        </w:rPr>
        <w:t xml:space="preserve"> aksi söylenemeyecek ölçüde kamu yararınadır; ancak devletin kamu hizmeti sunması</w:t>
      </w:r>
      <w:r>
        <w:rPr>
          <w:rFonts w:ascii="Courier New" w:hAnsi="Courier New" w:cs="Courier New"/>
          <w:sz w:val="24"/>
          <w:szCs w:val="24"/>
        </w:rPr>
        <w:t>,</w:t>
      </w:r>
      <w:r w:rsidRPr="00B643CB">
        <w:rPr>
          <w:rFonts w:ascii="Courier New" w:hAnsi="Courier New" w:cs="Courier New"/>
          <w:sz w:val="24"/>
          <w:szCs w:val="24"/>
        </w:rPr>
        <w:t xml:space="preserve"> devlete mali bir yük getirir, bu nedenle devlet kamu giderlerini karşılamak amacı ile vergilendirmeye gider. Anayasamızın 75. maddesinde vergi ödevi düzenlenmiştir; bu maddeye göre, herkes kamu giderlerini karşılamak üzere</w:t>
      </w:r>
      <w:r>
        <w:rPr>
          <w:rFonts w:ascii="Courier New" w:hAnsi="Courier New" w:cs="Courier New"/>
          <w:sz w:val="24"/>
          <w:szCs w:val="24"/>
        </w:rPr>
        <w:t>,</w:t>
      </w:r>
      <w:r w:rsidRPr="00B643CB">
        <w:rPr>
          <w:rFonts w:ascii="Courier New" w:hAnsi="Courier New" w:cs="Courier New"/>
          <w:sz w:val="24"/>
          <w:szCs w:val="24"/>
        </w:rPr>
        <w:t xml:space="preserve"> mali gücüne göre</w:t>
      </w:r>
      <w:r>
        <w:rPr>
          <w:rFonts w:ascii="Courier New" w:hAnsi="Courier New" w:cs="Courier New"/>
          <w:sz w:val="24"/>
          <w:szCs w:val="24"/>
        </w:rPr>
        <w:t>,</w:t>
      </w:r>
      <w:r w:rsidRPr="00B643CB">
        <w:rPr>
          <w:rFonts w:ascii="Courier New" w:hAnsi="Courier New" w:cs="Courier New"/>
          <w:sz w:val="24"/>
          <w:szCs w:val="24"/>
        </w:rPr>
        <w:t xml:space="preserve"> vergi ödemekle yükümlüdür; vergi, resim ve </w:t>
      </w:r>
      <w:r w:rsidRPr="00B643CB">
        <w:rPr>
          <w:rFonts w:ascii="Courier New" w:hAnsi="Courier New" w:cs="Courier New"/>
          <w:sz w:val="24"/>
          <w:szCs w:val="24"/>
        </w:rPr>
        <w:lastRenderedPageBreak/>
        <w:t>harçlar ve benzer mali yükümler yasa ile düzenlenir. 19/1963 sayılı</w:t>
      </w:r>
      <w:r>
        <w:rPr>
          <w:rFonts w:ascii="Courier New" w:hAnsi="Courier New" w:cs="Courier New"/>
          <w:sz w:val="24"/>
          <w:szCs w:val="24"/>
        </w:rPr>
        <w:t xml:space="preserve"> </w:t>
      </w:r>
      <w:r w:rsidRPr="00B643CB">
        <w:rPr>
          <w:rFonts w:ascii="Courier New" w:hAnsi="Courier New" w:cs="Courier New"/>
          <w:sz w:val="24"/>
          <w:szCs w:val="24"/>
        </w:rPr>
        <w:t>Pul Yasası da Anayasa’nın 75. maddesine uygun, konu maddeyi uygulama alanına taşıyan bir düzenlemedir.</w:t>
      </w:r>
    </w:p>
    <w:p w:rsidR="008C27A8" w:rsidRDefault="008C27A8" w:rsidP="008C27A8">
      <w:pPr>
        <w:spacing w:line="24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r>
        <w:rPr>
          <w:rFonts w:ascii="Courier New" w:hAnsi="Courier New" w:cs="Courier New"/>
          <w:sz w:val="24"/>
          <w:szCs w:val="24"/>
        </w:rPr>
        <w:tab/>
        <w:t xml:space="preserve">Anayasa’nın 11. maddesine göre, temel haklar, özüne dokunmadan, kamu yararı, kamu düzeni, sosyal adalet ve sayılan diğer nedenlerle yasalarla kısıtlanabilir. 19/1963 sayılı Pul Yasası’nın 35 ve 36. maddelerindeki düzenleme, vergiye tabi tutulan enstrümanların düzenlendikleri anda vergilerinin ödenmesine veya vergilerinin gecikme olmaksızın, etkili bir şekilde </w:t>
      </w:r>
      <w:r w:rsidRPr="005A5C75">
        <w:rPr>
          <w:rFonts w:ascii="Courier New" w:hAnsi="Courier New" w:cs="Courier New"/>
          <w:sz w:val="24"/>
          <w:szCs w:val="24"/>
        </w:rPr>
        <w:t>tahsiline yönelik</w:t>
      </w:r>
      <w:r>
        <w:rPr>
          <w:rFonts w:ascii="Courier New" w:hAnsi="Courier New" w:cs="Courier New"/>
          <w:sz w:val="24"/>
          <w:szCs w:val="24"/>
        </w:rPr>
        <w:t xml:space="preserve"> bir düzenlemedir. Kamu hizmetlerinin doğurduğu kamu giderlerinin karşılanması için Anayasa’nın 75. maddesinde ifade edildiği gibi, herkesin mali gücüne göre vergi ödeme yükümlülüğü vardır; vergi, resim ve harçlarla devletin </w:t>
      </w:r>
      <w:r w:rsidRPr="0005212D">
        <w:rPr>
          <w:rFonts w:ascii="Courier New" w:hAnsi="Courier New" w:cs="Courier New"/>
          <w:sz w:val="24"/>
          <w:szCs w:val="24"/>
        </w:rPr>
        <w:t xml:space="preserve">kamu </w:t>
      </w:r>
      <w:r>
        <w:rPr>
          <w:rFonts w:ascii="Courier New" w:hAnsi="Courier New" w:cs="Courier New"/>
          <w:sz w:val="24"/>
          <w:szCs w:val="24"/>
        </w:rPr>
        <w:t>hizmeti verebilir konuma gelmesi kamu yararınadır. Anayasa ile tanınan bir hak kamu yararına dayanarak kısıtlanabilir, ancak kısıtlamanın, hakkın özüne dokunmaması gerekir.</w:t>
      </w:r>
      <w:r w:rsidRPr="00391C5C">
        <w:rPr>
          <w:rFonts w:ascii="Courier New" w:hAnsi="Courier New" w:cs="Courier New"/>
          <w:b/>
          <w:sz w:val="24"/>
          <w:szCs w:val="24"/>
        </w:rPr>
        <w:t xml:space="preserve"> </w:t>
      </w:r>
      <w:r w:rsidRPr="005A5C75">
        <w:rPr>
          <w:rFonts w:ascii="Courier New" w:hAnsi="Courier New" w:cs="Courier New"/>
          <w:sz w:val="24"/>
          <w:szCs w:val="24"/>
        </w:rPr>
        <w:t xml:space="preserve">Bir </w:t>
      </w:r>
      <w:r>
        <w:rPr>
          <w:rFonts w:ascii="Courier New" w:hAnsi="Courier New" w:cs="Courier New"/>
          <w:sz w:val="24"/>
          <w:szCs w:val="24"/>
        </w:rPr>
        <w:t>kısıtlama, hakkın kullanılmasını son derece zorlaştırıyorsa, o hakkı kullanılamaz duruma getiriyorsa, o kısıtlamanın hakkın özüne dokunduğu söylenebilir.</w:t>
      </w:r>
    </w:p>
    <w:p w:rsidR="008C27A8" w:rsidRDefault="008C27A8" w:rsidP="008C27A8">
      <w:pPr>
        <w:spacing w:line="24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r>
        <w:rPr>
          <w:rFonts w:ascii="Courier New" w:hAnsi="Courier New" w:cs="Courier New"/>
          <w:sz w:val="24"/>
          <w:szCs w:val="24"/>
        </w:rPr>
        <w:tab/>
        <w:t>Pul Yasası’nın 35 ve 36. maddeleri ile getirilen düzenleme, kişinin delillerini gösterme hakkını elinden almamakta, sadece delil olarak sunmak istediği vergiye tabi enstrümanın vergisinin ödenmiş olmasını aramaktadır; bu, kamu yararına yönelik ve hakkın özüne dokunmayan bir kısıtlamadır.</w:t>
      </w:r>
    </w:p>
    <w:p w:rsidR="008C27A8" w:rsidRDefault="008C27A8" w:rsidP="008C27A8">
      <w:pPr>
        <w:spacing w:line="24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r>
        <w:rPr>
          <w:rFonts w:ascii="Courier New" w:hAnsi="Courier New" w:cs="Courier New"/>
          <w:sz w:val="24"/>
          <w:szCs w:val="24"/>
        </w:rPr>
        <w:tab/>
        <w:t xml:space="preserve">Davacılar Avukatı, en azından delil olarak gösterilmek istenen enstrümanın vergi yükümlülüğü, o enstrümanı delil olarak göstermek isteyen tarafta olmadığı durumlarda, enstrümanı delil olarak göstermek isteyen taraftan vergisinin </w:t>
      </w:r>
      <w:r>
        <w:rPr>
          <w:rFonts w:ascii="Courier New" w:hAnsi="Courier New" w:cs="Courier New"/>
          <w:sz w:val="24"/>
          <w:szCs w:val="24"/>
        </w:rPr>
        <w:lastRenderedPageBreak/>
        <w:t>istenmesinin ve pullanmadıkça, vergisi ödenmedikçe, delil olarak gösterilememesinin, Anayasa’nın 1 ve 17(4)(c) maddelerine aykırı olduğu iddiasındadır.</w:t>
      </w:r>
    </w:p>
    <w:p w:rsidR="008C27A8" w:rsidRDefault="008C27A8" w:rsidP="008C27A8">
      <w:pPr>
        <w:spacing w:line="24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r>
        <w:rPr>
          <w:rFonts w:ascii="Courier New" w:hAnsi="Courier New" w:cs="Courier New"/>
          <w:sz w:val="24"/>
          <w:szCs w:val="24"/>
        </w:rPr>
        <w:tab/>
        <w:t xml:space="preserve">Taraflar aksine anlaşmadıkça, bir enstrümanın vergisini karşılayacak taraf Pul Yasası’nda gösterilmiştir. Pul Yasası’na göre, vergiye tabi ancak vergisi ödenmemiş, yani pullanmamış bir enstrümanı delil olarak göstermek isteyen taraf, vergi yükümlülüğü kendisinde olmasa bile, vergisini ödemek, karşılamak durumundadır. Konu Yasa’ya göre, vergiye tabi bir enstrümanın suretleri de, asılın yeterince pullanmış olması koşulu ile, Yasaya ekli cetvelde gösterildiği gibi pullanıp kanıtlayıcı belge olarak kullanılabilir. Genelde suretin pul masrafı, Yasaya ekli cetvelden görülebileceği gibi önemsenmeyecek kadar düşüktür. Bu düzenleme, sözleşmeyi pullama yükümlülüğü kendisinde olmayan tarafı, sözleşmenin pullanmasında ısrarcı olmaya yönlendirmekte ve sözleşmenin pullanması gereğinin yerine getirilmesine hizmet etmektedir. Yeterince </w:t>
      </w:r>
      <w:r w:rsidRPr="0077262E">
        <w:rPr>
          <w:rFonts w:ascii="Courier New" w:hAnsi="Courier New" w:cs="Courier New"/>
          <w:sz w:val="24"/>
          <w:szCs w:val="24"/>
        </w:rPr>
        <w:t xml:space="preserve">pullanmamış </w:t>
      </w:r>
      <w:r>
        <w:rPr>
          <w:rFonts w:ascii="Courier New" w:hAnsi="Courier New" w:cs="Courier New"/>
          <w:sz w:val="24"/>
          <w:szCs w:val="24"/>
        </w:rPr>
        <w:t>bir sözleşmenin delil olarak gösterilemeyeceğini bilen tarafların sözleşmenin yeterince pullanmadığını görmeleri, yeterince pullanmasını sağlamaları gerekir. Sözleşmeyi pullama yükümlülüğü kendisinde olan fakat sözleşmeyi yeterince pullamayan veya suretini kanıtlayıcı belge olarak kullanabilmek için sözleşmenin yeterince pullanmasını sağlamayan bir taraf, böyle bir sözleşmeyi delil olarak göstermek isterse Pul Yasası’na göre pullamak durumundadır. Bu düzenlemenin Anayasa’nın 1 ve 17 (4)(c) maddelerini ihlal ettiği söylenemez.</w:t>
      </w:r>
    </w:p>
    <w:p w:rsidR="008C27A8" w:rsidRDefault="008C27A8" w:rsidP="008C27A8">
      <w:pPr>
        <w:spacing w:line="36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r>
        <w:rPr>
          <w:rFonts w:ascii="Courier New" w:hAnsi="Courier New" w:cs="Courier New"/>
          <w:sz w:val="24"/>
          <w:szCs w:val="24"/>
        </w:rPr>
        <w:lastRenderedPageBreak/>
        <w:tab/>
        <w:t>Yukarıda ifade edilenler ışığında, sonuç olarak, 19/1963 sayılı Pul Yasası’nın 35 ve 36. maddelerinin Anayasa’nın 1 ve 17 (4)(c) maddelerine aykırı olmadıklarına oy birliği ile karar verilir.</w:t>
      </w: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(Nevvar Nolan)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(Şafak Öneri)</w:t>
      </w:r>
    </w:p>
    <w:p w:rsidR="008C27A8" w:rsidRDefault="008C27A8" w:rsidP="008C27A8">
      <w:pPr>
        <w:pStyle w:val="NoSpacing"/>
        <w:spacing w:line="360" w:lineRule="auto"/>
        <w:rPr>
          <w:rFonts w:ascii="Courier New" w:hAnsi="Courier New" w:cs="Courier New"/>
          <w:sz w:val="24"/>
          <w:szCs w:val="24"/>
        </w:rPr>
      </w:pPr>
      <w:r>
        <w:rPr>
          <w:rFonts w:ascii="Courier New" w:hAnsi="Courier New" w:cs="Courier New"/>
          <w:sz w:val="24"/>
          <w:szCs w:val="24"/>
        </w:rPr>
        <w:t xml:space="preserve">             Başkan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Yargıç</w:t>
      </w: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p>
    <w:p w:rsidR="008C27A8" w:rsidRDefault="008C27A8" w:rsidP="008C27A8">
      <w:pPr>
        <w:pStyle w:val="NoSpacing"/>
        <w:spacing w:line="360" w:lineRule="auto"/>
        <w:rPr>
          <w:rFonts w:ascii="Courier New" w:hAnsi="Courier New" w:cs="Courier New"/>
          <w:sz w:val="24"/>
          <w:szCs w:val="24"/>
        </w:rPr>
      </w:pPr>
      <w:r>
        <w:rPr>
          <w:rFonts w:ascii="Courier New" w:hAnsi="Courier New" w:cs="Courier New"/>
          <w:sz w:val="24"/>
          <w:szCs w:val="24"/>
        </w:rPr>
        <w:t>(Talat D.Refiker)</w:t>
      </w:r>
      <w:r>
        <w:rPr>
          <w:rFonts w:ascii="Courier New" w:hAnsi="Courier New" w:cs="Courier New"/>
          <w:sz w:val="24"/>
          <w:szCs w:val="24"/>
        </w:rPr>
        <w:tab/>
        <w:t xml:space="preserve"> (Narin F.Şefik)</w:t>
      </w:r>
      <w:r>
        <w:rPr>
          <w:rFonts w:ascii="Courier New" w:hAnsi="Courier New" w:cs="Courier New"/>
          <w:sz w:val="24"/>
          <w:szCs w:val="24"/>
        </w:rPr>
        <w:tab/>
        <w:t xml:space="preserve"> (Hüseyin Besimoğlu)</w:t>
      </w:r>
    </w:p>
    <w:p w:rsidR="008C27A8" w:rsidRDefault="008C27A8" w:rsidP="008C27A8">
      <w:pPr>
        <w:pStyle w:val="NoSpacing"/>
        <w:spacing w:line="360" w:lineRule="auto"/>
        <w:rPr>
          <w:rFonts w:ascii="Courier New" w:hAnsi="Courier New" w:cs="Courier New"/>
          <w:sz w:val="24"/>
          <w:szCs w:val="24"/>
        </w:rPr>
      </w:pPr>
      <w:r>
        <w:rPr>
          <w:rFonts w:ascii="Courier New" w:hAnsi="Courier New" w:cs="Courier New"/>
          <w:sz w:val="24"/>
          <w:szCs w:val="24"/>
        </w:rPr>
        <w:t xml:space="preserve">     Yargıç</w:t>
      </w:r>
      <w:r>
        <w:rPr>
          <w:rFonts w:ascii="Courier New" w:hAnsi="Courier New" w:cs="Courier New"/>
          <w:sz w:val="24"/>
          <w:szCs w:val="24"/>
        </w:rPr>
        <w:tab/>
      </w:r>
      <w:r>
        <w:rPr>
          <w:rFonts w:ascii="Courier New" w:hAnsi="Courier New" w:cs="Courier New"/>
          <w:sz w:val="24"/>
          <w:szCs w:val="24"/>
        </w:rPr>
        <w:tab/>
        <w:t xml:space="preserve">    Yargıç</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Yargıç</w:t>
      </w:r>
    </w:p>
    <w:p w:rsidR="008C27A8" w:rsidRDefault="008C27A8" w:rsidP="008C27A8">
      <w:pPr>
        <w:spacing w:line="36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p>
    <w:p w:rsidR="008C27A8" w:rsidRDefault="008C27A8" w:rsidP="008C27A8">
      <w:pPr>
        <w:spacing w:line="360" w:lineRule="auto"/>
        <w:rPr>
          <w:rFonts w:ascii="Courier New" w:hAnsi="Courier New" w:cs="Courier New"/>
          <w:sz w:val="24"/>
          <w:szCs w:val="24"/>
        </w:rPr>
      </w:pPr>
    </w:p>
    <w:p w:rsidR="008C27A8" w:rsidRPr="000104A4" w:rsidRDefault="008C27A8" w:rsidP="008C27A8">
      <w:pPr>
        <w:spacing w:line="360" w:lineRule="auto"/>
        <w:rPr>
          <w:rFonts w:ascii="Courier New" w:hAnsi="Courier New" w:cs="Courier New"/>
          <w:sz w:val="24"/>
          <w:szCs w:val="24"/>
        </w:rPr>
      </w:pPr>
      <w:r>
        <w:rPr>
          <w:rFonts w:ascii="Courier New" w:hAnsi="Courier New" w:cs="Courier New"/>
          <w:sz w:val="24"/>
          <w:szCs w:val="24"/>
        </w:rPr>
        <w:t>20 Mart 2014</w:t>
      </w:r>
    </w:p>
    <w:p w:rsidR="00FE0DC1" w:rsidRDefault="00FE0DC1"/>
    <w:sectPr w:rsidR="00FE0DC1" w:rsidSect="003511B6">
      <w:headerReference w:type="default" r:id="rId5"/>
      <w:pgSz w:w="11906" w:h="16838" w:code="9"/>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9157"/>
      <w:docPartObj>
        <w:docPartGallery w:val="Page Numbers (Top of Page)"/>
        <w:docPartUnique/>
      </w:docPartObj>
    </w:sdtPr>
    <w:sdtEndPr/>
    <w:sdtContent>
      <w:p w:rsidR="005855B3" w:rsidRDefault="008C27A8">
        <w:pPr>
          <w:pStyle w:val="Header"/>
          <w:jc w:val="center"/>
        </w:pPr>
        <w:r>
          <w:fldChar w:fldCharType="begin"/>
        </w:r>
        <w:r>
          <w:instrText xml:space="preserve"> PAGE   \* MERGEFORMAT </w:instrText>
        </w:r>
        <w:r>
          <w:fldChar w:fldCharType="separate"/>
        </w:r>
        <w:r>
          <w:rPr>
            <w:noProof/>
          </w:rPr>
          <w:t>7</w:t>
        </w:r>
        <w:r>
          <w:fldChar w:fldCharType="end"/>
        </w:r>
      </w:p>
    </w:sdtContent>
  </w:sdt>
  <w:p w:rsidR="005855B3" w:rsidRDefault="008C27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16755"/>
    <w:multiLevelType w:val="hybridMultilevel"/>
    <w:tmpl w:val="CD0E4DEC"/>
    <w:lvl w:ilvl="0" w:tplc="00783B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rsids>
    <w:rsidRoot w:val="008C27A8"/>
    <w:rsid w:val="0046271E"/>
    <w:rsid w:val="008C27A8"/>
    <w:rsid w:val="00B26710"/>
    <w:rsid w:val="00FE0D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A8"/>
  </w:style>
  <w:style w:type="paragraph" w:styleId="Heading3">
    <w:name w:val="heading 3"/>
    <w:basedOn w:val="Normal"/>
    <w:next w:val="NormalIndent"/>
    <w:link w:val="Heading3Char"/>
    <w:qFormat/>
    <w:rsid w:val="008C27A8"/>
    <w:pPr>
      <w:autoSpaceDE w:val="0"/>
      <w:autoSpaceDN w:val="0"/>
      <w:spacing w:after="0" w:line="240" w:lineRule="auto"/>
      <w:ind w:left="360"/>
      <w:outlineLvl w:val="2"/>
    </w:pPr>
    <w:rPr>
      <w:rFonts w:ascii="Arial" w:eastAsia="Times New Roman" w:hAnsi="Arial" w:cs="Arial"/>
      <w:b/>
      <w:bCs/>
      <w:sz w:val="24"/>
      <w:szCs w:val="24"/>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27A8"/>
    <w:rPr>
      <w:rFonts w:ascii="Arial" w:eastAsia="Times New Roman" w:hAnsi="Arial" w:cs="Arial"/>
      <w:b/>
      <w:bCs/>
      <w:sz w:val="24"/>
      <w:szCs w:val="24"/>
      <w:lang w:val="en-US" w:eastAsia="tr-TR"/>
    </w:rPr>
  </w:style>
  <w:style w:type="table" w:styleId="TableGrid">
    <w:name w:val="Table Grid"/>
    <w:basedOn w:val="TableNormal"/>
    <w:uiPriority w:val="59"/>
    <w:rsid w:val="008C2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semiHidden/>
    <w:unhideWhenUsed/>
    <w:rsid w:val="008C27A8"/>
    <w:pPr>
      <w:ind w:left="708"/>
    </w:pPr>
  </w:style>
  <w:style w:type="paragraph" w:styleId="ListParagraph">
    <w:name w:val="List Paragraph"/>
    <w:basedOn w:val="Normal"/>
    <w:uiPriority w:val="34"/>
    <w:qFormat/>
    <w:rsid w:val="008C27A8"/>
    <w:pPr>
      <w:ind w:left="720"/>
      <w:contextualSpacing/>
    </w:pPr>
  </w:style>
  <w:style w:type="paragraph" w:styleId="NoSpacing">
    <w:name w:val="No Spacing"/>
    <w:uiPriority w:val="1"/>
    <w:qFormat/>
    <w:rsid w:val="008C27A8"/>
    <w:pPr>
      <w:spacing w:after="0" w:line="240" w:lineRule="auto"/>
    </w:pPr>
  </w:style>
  <w:style w:type="paragraph" w:styleId="Header">
    <w:name w:val="header"/>
    <w:basedOn w:val="Normal"/>
    <w:link w:val="HeaderChar"/>
    <w:uiPriority w:val="99"/>
    <w:unhideWhenUsed/>
    <w:rsid w:val="008C27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27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1586</Words>
  <Characters>9041</Characters>
  <Application>Microsoft Office Word</Application>
  <DocSecurity>0</DocSecurity>
  <Lines>75</Lines>
  <Paragraphs>21</Paragraphs>
  <ScaleCrop>false</ScaleCrop>
  <Company>bim</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mah1</dc:creator>
  <cp:keywords/>
  <dc:description/>
  <cp:lastModifiedBy>mah1</cp:lastModifiedBy>
  <cp:revision>1</cp:revision>
  <dcterms:created xsi:type="dcterms:W3CDTF">2014-03-21T11:31:00Z</dcterms:created>
  <dcterms:modified xsi:type="dcterms:W3CDTF">2014-03-21T11:32:00Z</dcterms:modified>
</cp:coreProperties>
</file>