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033" w:rsidRPr="007C6A77" w:rsidRDefault="00DC4033" w:rsidP="00DC4033">
      <w:pPr>
        <w:tabs>
          <w:tab w:val="left" w:pos="5529"/>
        </w:tabs>
        <w:jc w:val="center"/>
        <w:rPr>
          <w:rFonts w:ascii="Times New Roman" w:hAnsi="Times New Roman" w:cs="Times New Roman"/>
        </w:rPr>
      </w:pPr>
      <w:bookmarkStart w:id="0" w:name="_GoBack"/>
      <w:bookmarkEnd w:id="0"/>
      <w:r>
        <w:rPr>
          <w:rFonts w:ascii="Times New Roman" w:hAnsi="Times New Roman"/>
        </w:rPr>
        <w:t>BÜYÜK DAİRE</w:t>
      </w: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1E4E7C" w:rsidRPr="007C6A77" w:rsidRDefault="00DC4033" w:rsidP="00DC4033">
      <w:pPr>
        <w:jc w:val="center"/>
        <w:rPr>
          <w:rFonts w:ascii="Times New Roman" w:hAnsi="Times New Roman" w:cs="Times New Roman"/>
          <w:b/>
        </w:rPr>
      </w:pPr>
      <w:bookmarkStart w:id="1" w:name="To"/>
      <w:r>
        <w:rPr>
          <w:rFonts w:ascii="Times New Roman" w:hAnsi="Times New Roman"/>
          <w:b/>
        </w:rPr>
        <w:t xml:space="preserve">GÜZELYURTLU </w:t>
      </w:r>
      <w:r w:rsidR="005108B4">
        <w:rPr>
          <w:rFonts w:ascii="Times New Roman" w:hAnsi="Times New Roman"/>
          <w:b/>
        </w:rPr>
        <w:t xml:space="preserve">VE DİĞERLERİ </w:t>
      </w:r>
      <w:r>
        <w:rPr>
          <w:rFonts w:ascii="Times New Roman" w:hAnsi="Times New Roman"/>
          <w:b/>
        </w:rPr>
        <w:t>/</w:t>
      </w:r>
      <w:r w:rsidR="005108B4">
        <w:rPr>
          <w:rFonts w:ascii="Times New Roman" w:hAnsi="Times New Roman"/>
          <w:b/>
        </w:rPr>
        <w:t xml:space="preserve"> </w:t>
      </w:r>
      <w:r>
        <w:rPr>
          <w:rFonts w:ascii="Times New Roman" w:hAnsi="Times New Roman"/>
          <w:b/>
        </w:rPr>
        <w:t xml:space="preserve">KIBRIS VE TÜRKİYE </w:t>
      </w:r>
      <w:bookmarkEnd w:id="1"/>
    </w:p>
    <w:p w:rsidR="00DC4033" w:rsidRPr="007C6A77" w:rsidRDefault="00F25813" w:rsidP="00DC4033">
      <w:pPr>
        <w:jc w:val="center"/>
        <w:rPr>
          <w:rFonts w:ascii="Times New Roman" w:hAnsi="Times New Roman" w:cs="Times New Roman"/>
          <w:b/>
        </w:rPr>
      </w:pPr>
      <w:r>
        <w:rPr>
          <w:rFonts w:ascii="Times New Roman" w:hAnsi="Times New Roman"/>
          <w:b/>
        </w:rPr>
        <w:t>DAVASI</w:t>
      </w: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i/>
        </w:rPr>
      </w:pPr>
      <w:r>
        <w:rPr>
          <w:rFonts w:ascii="Times New Roman" w:hAnsi="Times New Roman"/>
          <w:i/>
        </w:rPr>
        <w:t xml:space="preserve">(Başvuru </w:t>
      </w:r>
      <w:r w:rsidR="00964336">
        <w:rPr>
          <w:rFonts w:ascii="Times New Roman" w:hAnsi="Times New Roman"/>
          <w:i/>
        </w:rPr>
        <w:t>No.</w:t>
      </w:r>
      <w:r>
        <w:rPr>
          <w:rFonts w:ascii="Times New Roman" w:hAnsi="Times New Roman"/>
          <w:i/>
        </w:rPr>
        <w:t xml:space="preserve"> 36925/07)</w:t>
      </w: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r>
        <w:rPr>
          <w:rFonts w:ascii="Times New Roman" w:hAnsi="Times New Roman"/>
        </w:rPr>
        <w:t>KARAR</w:t>
      </w:r>
    </w:p>
    <w:p w:rsidR="00DC4033" w:rsidRPr="007C6A77" w:rsidRDefault="00DC4033" w:rsidP="00DC4033">
      <w:pPr>
        <w:jc w:val="center"/>
        <w:rPr>
          <w:rFonts w:asciiTheme="majorHAnsi" w:hAnsiTheme="majorHAnsi" w:cstheme="majorHAnsi"/>
          <w:i/>
          <w:szCs w:val="24"/>
        </w:rPr>
      </w:pPr>
    </w:p>
    <w:p w:rsidR="00F25813" w:rsidRPr="007C6A77" w:rsidRDefault="00F25813" w:rsidP="00DC4033">
      <w:pPr>
        <w:jc w:val="center"/>
        <w:rPr>
          <w:rFonts w:asciiTheme="majorHAnsi" w:hAnsiTheme="majorHAnsi" w:cstheme="majorHAnsi"/>
          <w:i/>
          <w:szCs w:val="24"/>
        </w:rPr>
      </w:pPr>
    </w:p>
    <w:p w:rsidR="00DC4033" w:rsidRPr="007C6A77" w:rsidRDefault="00DC4033" w:rsidP="00DC4033">
      <w:pPr>
        <w:jc w:val="center"/>
        <w:rPr>
          <w:rFonts w:ascii="Times New Roman" w:hAnsi="Times New Roman" w:cs="Times New Roman"/>
        </w:rPr>
      </w:pPr>
    </w:p>
    <w:p w:rsidR="00F25813" w:rsidRPr="007C6A77" w:rsidRDefault="00F2581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r>
        <w:rPr>
          <w:rFonts w:ascii="Times New Roman" w:hAnsi="Times New Roman"/>
        </w:rPr>
        <w:t>STRAZBURG</w:t>
      </w:r>
    </w:p>
    <w:p w:rsidR="00DC4033" w:rsidRPr="007C6A77" w:rsidRDefault="00DC4033" w:rsidP="00DC4033">
      <w:pPr>
        <w:jc w:val="center"/>
        <w:rPr>
          <w:rFonts w:ascii="Times New Roman" w:hAnsi="Times New Roman" w:cs="Times New Roman"/>
        </w:rPr>
      </w:pPr>
    </w:p>
    <w:p w:rsidR="00F25813" w:rsidRPr="007C6A77" w:rsidRDefault="00F25813" w:rsidP="00DC4033">
      <w:pPr>
        <w:jc w:val="center"/>
        <w:rPr>
          <w:rFonts w:ascii="Times New Roman" w:hAnsi="Times New Roman" w:cs="Times New Roman"/>
        </w:rPr>
      </w:pPr>
    </w:p>
    <w:p w:rsidR="00F25813" w:rsidRPr="007C6A77" w:rsidRDefault="00F25813" w:rsidP="00DC4033">
      <w:pPr>
        <w:jc w:val="center"/>
        <w:rPr>
          <w:rFonts w:ascii="Times New Roman" w:hAnsi="Times New Roman" w:cs="Times New Roman"/>
        </w:rPr>
      </w:pPr>
    </w:p>
    <w:p w:rsidR="00DC4033" w:rsidRPr="007C6A77" w:rsidRDefault="00415B26" w:rsidP="00DC4033">
      <w:pPr>
        <w:jc w:val="center"/>
        <w:rPr>
          <w:rFonts w:ascii="Times New Roman" w:hAnsi="Times New Roman" w:cs="Times New Roman"/>
        </w:rPr>
      </w:pPr>
      <w:r>
        <w:rPr>
          <w:rFonts w:ascii="Times New Roman" w:hAnsi="Times New Roman"/>
        </w:rPr>
        <w:t>29 Ocak 2019</w:t>
      </w: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DC4033" w:rsidRPr="007C6A77" w:rsidRDefault="00DC4033" w:rsidP="00DC4033">
      <w:pPr>
        <w:jc w:val="center"/>
        <w:rPr>
          <w:rFonts w:ascii="Times New Roman" w:hAnsi="Times New Roman" w:cs="Times New Roman"/>
        </w:rPr>
      </w:pPr>
    </w:p>
    <w:p w:rsidR="006B0F25" w:rsidRPr="007C6A77" w:rsidRDefault="00DC4033" w:rsidP="00DC4033">
      <w:pPr>
        <w:rPr>
          <w:rFonts w:ascii="Times New Roman" w:hAnsi="Times New Roman" w:cs="Times New Roman"/>
          <w:i/>
          <w:sz w:val="22"/>
        </w:rPr>
      </w:pPr>
      <w:r>
        <w:rPr>
          <w:rFonts w:ascii="Times New Roman" w:hAnsi="Times New Roman"/>
          <w:i/>
          <w:sz w:val="22"/>
        </w:rPr>
        <w:t>İşbu karar nihaidir, ancak şeklî düzeltmelere tabi tutulabilir.</w:t>
      </w:r>
    </w:p>
    <w:p w:rsidR="00DC4033" w:rsidRPr="007C6A77" w:rsidRDefault="00DC4033" w:rsidP="00DC4033">
      <w:pPr>
        <w:rPr>
          <w:rFonts w:ascii="Times New Roman" w:hAnsi="Times New Roman" w:cs="Times New Roman"/>
          <w:sz w:val="22"/>
        </w:rPr>
        <w:sectPr w:rsidR="00DC4033" w:rsidRPr="007C6A77" w:rsidSect="001F1CD9">
          <w:headerReference w:type="default" r:id="rId11"/>
          <w:footerReference w:type="default" r:id="rId12"/>
          <w:footnotePr>
            <w:numRestart w:val="eachSect"/>
          </w:footnotePr>
          <w:pgSz w:w="11906" w:h="16838" w:code="9"/>
          <w:pgMar w:top="2274" w:right="2274" w:bottom="2274" w:left="2274" w:header="1701" w:footer="720" w:gutter="0"/>
          <w:pgNumType w:start="1"/>
          <w:cols w:space="720"/>
          <w:noEndnote/>
        </w:sectPr>
      </w:pPr>
    </w:p>
    <w:p w:rsidR="00DC4033" w:rsidRPr="007C6A77" w:rsidRDefault="00DC4033" w:rsidP="00DC4033">
      <w:pPr>
        <w:pStyle w:val="JuCase"/>
        <w:rPr>
          <w:rFonts w:ascii="Times New Roman" w:hAnsi="Times New Roman" w:cs="Times New Roman"/>
        </w:rPr>
      </w:pPr>
      <w:r>
        <w:rPr>
          <w:rFonts w:ascii="Times New Roman" w:hAnsi="Times New Roman"/>
        </w:rPr>
        <w:lastRenderedPageBreak/>
        <w:t>Güzelyurtlu v</w:t>
      </w:r>
      <w:r w:rsidR="00D06A5D">
        <w:rPr>
          <w:rFonts w:ascii="Times New Roman" w:hAnsi="Times New Roman"/>
        </w:rPr>
        <w:t xml:space="preserve">e Diğerleri </w:t>
      </w:r>
      <w:r>
        <w:rPr>
          <w:rFonts w:ascii="Times New Roman" w:hAnsi="Times New Roman"/>
        </w:rPr>
        <w:t>/</w:t>
      </w:r>
      <w:r w:rsidR="00D06A5D">
        <w:rPr>
          <w:rFonts w:ascii="Times New Roman" w:hAnsi="Times New Roman"/>
        </w:rPr>
        <w:t xml:space="preserve"> </w:t>
      </w:r>
      <w:r>
        <w:rPr>
          <w:rFonts w:ascii="Times New Roman" w:hAnsi="Times New Roman"/>
        </w:rPr>
        <w:t>Kıbrıs ve Türkiye davasında,</w:t>
      </w:r>
    </w:p>
    <w:p w:rsidR="00F25813" w:rsidRPr="007C6A77" w:rsidRDefault="00F25813" w:rsidP="00F25813">
      <w:pPr>
        <w:pStyle w:val="ECHRPara"/>
      </w:pPr>
      <w:r>
        <w:t>Avrupa İnsan Hakları Mahkemesi, aşağıdaki üyelerin katılımıyla Büyük Daire olarak toplanmıştır:</w:t>
      </w:r>
    </w:p>
    <w:p w:rsidR="00F25813" w:rsidRPr="00173B50" w:rsidRDefault="00F25813" w:rsidP="00F25813">
      <w:pPr>
        <w:pStyle w:val="ECHRDecisionBody"/>
      </w:pPr>
      <w:r>
        <w:tab/>
      </w:r>
      <w:r>
        <w:tab/>
      </w:r>
      <w:r>
        <w:rPr>
          <w:i/>
        </w:rPr>
        <w:t>Başkan</w:t>
      </w:r>
      <w:r>
        <w:t xml:space="preserve"> Guido Raimondi,</w:t>
      </w:r>
      <w:r>
        <w:rPr>
          <w:i/>
        </w:rPr>
        <w:t xml:space="preserve"> </w:t>
      </w:r>
      <w:r>
        <w:rPr>
          <w:i/>
        </w:rPr>
        <w:br/>
      </w:r>
      <w:r>
        <w:tab/>
      </w:r>
      <w:r>
        <w:rPr>
          <w:i/>
        </w:rPr>
        <w:t>Yargıçlar</w:t>
      </w:r>
      <w:r>
        <w:t xml:space="preserve"> Angelika Nußberger,</w:t>
      </w:r>
      <w:r>
        <w:rPr>
          <w:i/>
        </w:rPr>
        <w:br/>
      </w:r>
      <w:r>
        <w:tab/>
        <w:t>Linos-Alexandre Sicilianos,</w:t>
      </w:r>
      <w:r>
        <w:rPr>
          <w:i/>
        </w:rPr>
        <w:br/>
      </w:r>
      <w:r>
        <w:tab/>
        <w:t>Ganna Yudkivska,</w:t>
      </w:r>
      <w:r>
        <w:rPr>
          <w:i/>
        </w:rPr>
        <w:br/>
      </w:r>
      <w:r>
        <w:tab/>
        <w:t>Robert Spano,</w:t>
      </w:r>
    </w:p>
    <w:p w:rsidR="00C23489" w:rsidRDefault="00C23489" w:rsidP="00F25813">
      <w:pPr>
        <w:pStyle w:val="ECHRDecisionBody"/>
      </w:pPr>
      <w:r>
        <w:tab/>
      </w:r>
    </w:p>
    <w:p w:rsidR="00F25813" w:rsidRPr="00173B50" w:rsidRDefault="00F25813" w:rsidP="00F25813">
      <w:pPr>
        <w:pStyle w:val="ECHRDecisionBody"/>
      </w:pPr>
      <w:r>
        <w:t>Vincent A. De Gaetano,</w:t>
      </w:r>
      <w:r>
        <w:rPr>
          <w:i/>
        </w:rPr>
        <w:br/>
      </w:r>
      <w:r>
        <w:tab/>
        <w:t>Işıl Karakaş,</w:t>
      </w:r>
      <w:r>
        <w:rPr>
          <w:i/>
        </w:rPr>
        <w:br/>
      </w:r>
      <w:r>
        <w:tab/>
        <w:t>Kristina Pardalos,</w:t>
      </w:r>
      <w:r>
        <w:rPr>
          <w:i/>
        </w:rPr>
        <w:br/>
      </w:r>
      <w:r>
        <w:tab/>
        <w:t>André Potocki,</w:t>
      </w:r>
      <w:r>
        <w:rPr>
          <w:i/>
        </w:rPr>
        <w:br/>
      </w:r>
      <w:r>
        <w:tab/>
        <w:t>Aleš Pejchal,</w:t>
      </w:r>
      <w:r>
        <w:rPr>
          <w:i/>
        </w:rPr>
        <w:br/>
      </w:r>
      <w:r>
        <w:tab/>
        <w:t>Yonko Grozev,</w:t>
      </w:r>
      <w:r>
        <w:rPr>
          <w:i/>
        </w:rPr>
        <w:br/>
      </w:r>
      <w:r>
        <w:tab/>
        <w:t>Gabriele Kucsko-Stadlmayer,</w:t>
      </w:r>
      <w:r>
        <w:rPr>
          <w:i/>
        </w:rPr>
        <w:br/>
      </w:r>
      <w:r>
        <w:tab/>
        <w:t>Pauliine Koskelo,</w:t>
      </w:r>
      <w:r>
        <w:rPr>
          <w:i/>
        </w:rPr>
        <w:br/>
      </w:r>
      <w:r>
        <w:tab/>
        <w:t>Georgios A. Serghides,</w:t>
      </w:r>
      <w:r>
        <w:rPr>
          <w:i/>
        </w:rPr>
        <w:br/>
      </w:r>
      <w:r>
        <w:tab/>
        <w:t>Marko Bošnjak,</w:t>
      </w:r>
      <w:r>
        <w:rPr>
          <w:i/>
        </w:rPr>
        <w:br/>
      </w:r>
      <w:r>
        <w:tab/>
        <w:t>Jolien Schukking,</w:t>
      </w:r>
      <w:r>
        <w:rPr>
          <w:i/>
        </w:rPr>
        <w:br/>
      </w:r>
      <w:r>
        <w:tab/>
        <w:t>Lado Chanturia,</w:t>
      </w:r>
      <w:r>
        <w:rPr>
          <w:i/>
        </w:rPr>
        <w:t xml:space="preserve"> </w:t>
      </w:r>
      <w:r>
        <w:br/>
        <w:t xml:space="preserve">ve </w:t>
      </w:r>
      <w:r>
        <w:rPr>
          <w:i/>
        </w:rPr>
        <w:t xml:space="preserve">Yazı İşleri Müdürü </w:t>
      </w:r>
      <w:r>
        <w:t>Roderick Liddell</w:t>
      </w:r>
      <w:r>
        <w:rPr>
          <w:i/>
        </w:rPr>
        <w:t>,</w:t>
      </w:r>
    </w:p>
    <w:p w:rsidR="00F25813" w:rsidRPr="007C6A77" w:rsidRDefault="00F25813" w:rsidP="00F25813">
      <w:pPr>
        <w:pStyle w:val="ECHRPara"/>
      </w:pPr>
      <w:r>
        <w:t xml:space="preserve">28 Mart 2018 ve 7 Kasım 2018 tarihlerinde yapılan kapalı görüşmeler sonucunda, </w:t>
      </w:r>
    </w:p>
    <w:p w:rsidR="00F25813" w:rsidRPr="007C6A77" w:rsidRDefault="00F25813" w:rsidP="00F25813">
      <w:pPr>
        <w:pStyle w:val="ECHRPara"/>
      </w:pPr>
      <w:r>
        <w:noBreakHyphen/>
      </w:r>
      <w:r w:rsidR="00C23489">
        <w:t xml:space="preserve"> Son tarihte kabul edilen aşağıdaki kararı ver</w:t>
      </w:r>
      <w:r>
        <w:t>miştir:</w:t>
      </w:r>
    </w:p>
    <w:p w:rsidR="00F25813" w:rsidRPr="007C6A77" w:rsidRDefault="00F25813" w:rsidP="00F25813">
      <w:pPr>
        <w:pStyle w:val="ECHRTitle1"/>
      </w:pPr>
      <w:r>
        <w:t>USUL</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w:t>
      </w:r>
      <w:r w:rsidRPr="007C6A77">
        <w:fldChar w:fldCharType="end"/>
      </w:r>
      <w:r w:rsidR="00F25813">
        <w:t>.  Dava, Kıbrıslı Türk kökenli yedi Kıbrıs vatandaşı, Sn. Mehmet Güzelyurtlu ("ilk başvuran"), Sn. Ayça Güzelyurtlu ("ikinci başvuran"), Sn. Deniz Erdinch ("üçüncü başvuran"), Sn. Emine Akerson ("dördüncü başvuran"), Sn. Fezile Kirralar ( "beşinci başvuran"), Sn. Meryem Özfırat ("altıncı başvuran") ve Sn. Muzaffer Özfırat ("yedinci başvuran") tarafından Kıbrıs Cumhuriyeti ve Türkiye Cumhuriyeti aleyhine İnsan Hakları ve Temel Özgürlüklerin Korunması Sözleşmesi’nin ("Sözleşme") 34. maddesi uyarınca Mahkemeye 16 Ağustos 2007 tarihinde yaptığı bir başvuruya (</w:t>
      </w:r>
      <w:r w:rsidR="00964336">
        <w:t>No.</w:t>
      </w:r>
      <w:r w:rsidR="00F25813">
        <w:t xml:space="preserve"> 36925/07) dayanmaktadır.</w:t>
      </w:r>
    </w:p>
    <w:p w:rsidR="00F25813" w:rsidRPr="007C6A77" w:rsidRDefault="00BB2D2A" w:rsidP="00F25813">
      <w:pPr>
        <w:pStyle w:val="ECHRPara"/>
        <w:rPr>
          <w:bCs/>
        </w:rPr>
      </w:pPr>
      <w:r w:rsidRPr="007C6A77">
        <w:fldChar w:fldCharType="begin"/>
      </w:r>
      <w:r w:rsidR="00F25813" w:rsidRPr="007C6A77">
        <w:instrText xml:space="preserve"> SEQ level0 \*arabic </w:instrText>
      </w:r>
      <w:r w:rsidRPr="007C6A77">
        <w:fldChar w:fldCharType="separate"/>
      </w:r>
      <w:r w:rsidR="00332D11">
        <w:rPr>
          <w:noProof/>
        </w:rPr>
        <w:t>2</w:t>
      </w:r>
      <w:r w:rsidRPr="007C6A77">
        <w:fldChar w:fldCharType="end"/>
      </w:r>
      <w:r w:rsidR="00F25813">
        <w:t>.  Başvuranlar, duruşma avukatı Bay A. Rıza QC ve Londra'da danışman avukatlık yapmakta olan E. Meleagrou tarafından temsil edilmiştir. Kıbrıs Hükümeti, Kıbrıs Cumhuriyeti Başsavcısı olan iki temsilci ile sırasıyla önce P. Clerides, sonra da C. Clerides, tarafından temsil edilmiştir. Türk Hükümeti de kendi Temsilcisi tarafından temsil edilmiştir.</w:t>
      </w:r>
    </w:p>
    <w:p w:rsidR="00F25813" w:rsidRPr="007C6A77" w:rsidRDefault="00BB2D2A" w:rsidP="00F25813">
      <w:pPr>
        <w:pStyle w:val="ECHRPara"/>
      </w:pPr>
      <w:r w:rsidRPr="007C6A77">
        <w:lastRenderedPageBreak/>
        <w:fldChar w:fldCharType="begin"/>
      </w:r>
      <w:r w:rsidR="00F25813" w:rsidRPr="007C6A77">
        <w:instrText xml:space="preserve"> SEQ level0 \*arabic </w:instrText>
      </w:r>
      <w:r w:rsidRPr="007C6A77">
        <w:fldChar w:fldCharType="separate"/>
      </w:r>
      <w:r w:rsidR="00332D11">
        <w:rPr>
          <w:noProof/>
        </w:rPr>
        <w:t>3</w:t>
      </w:r>
      <w:r w:rsidRPr="007C6A77">
        <w:fldChar w:fldCharType="end"/>
      </w:r>
      <w:r w:rsidR="00F25813">
        <w:t>.  Başvuranlar, Sözleşme'nin 2. maddesinin esas ve usul yönünden, "Kuzey Kıbrıs Türk Cumhuriyeti" (</w:t>
      </w:r>
      <w:r w:rsidR="008B4471">
        <w:t>“KKTC”</w:t>
      </w:r>
      <w:r w:rsidR="00F25813">
        <w:t xml:space="preserve">) makamları da dâhil olmak üzere Kıbrıs ve Türk makamlarının, yakınları Elmas, Zerrin ve Eylül Güzelyurtlu'nun öldürülmesine ilişkin etkin bir soruşturma yürütemediklerinden </w:t>
      </w:r>
      <w:r w:rsidR="00CF43EA">
        <w:t>şikâyetçi</w:t>
      </w:r>
      <w:r w:rsidR="00F25813">
        <w:t xml:space="preserve"> olmuşlardır. Sözleşme'nin 13. maddesine dayanarak, 2. madde usul şikâyetlerine ilişkin etkili bir çözüm bulunmamasından dolayı </w:t>
      </w:r>
      <w:r w:rsidR="00CF43EA">
        <w:t>şikâyette</w:t>
      </w:r>
      <w:r w:rsidR="00F25813">
        <w:t xml:space="preserve"> bulunmuşlardır.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4</w:t>
      </w:r>
      <w:r w:rsidRPr="007C6A77">
        <w:fldChar w:fldCharType="end"/>
      </w:r>
      <w:r w:rsidR="00F25813">
        <w:t xml:space="preserve">.   Başvuru Mahkemenin Üçüncü Dairesine tahsis edilmiştir (Mahkeme İç Tüzüğü 52 § 1). 13 Mayıs 2009 tarihinde, 2. maddenin usul yönüne ilişkin olarak başvuranların </w:t>
      </w:r>
      <w:r w:rsidR="00CF43EA">
        <w:t>şikâyetleri</w:t>
      </w:r>
      <w:r w:rsidR="00F25813">
        <w:t xml:space="preserve"> davalı Hükümetlere yalnız ve 13. madde ile birlikte bildirilmiştir. 3 Eylül 2009 tarihinde, Avrupa Kişisel Haklar Tavsiye Merkezi’ne (“AIRE Merkezi") üçün</w:t>
      </w:r>
      <w:r w:rsidR="00116CD2">
        <w:t>cü taraf olarak yazılı yorum</w:t>
      </w:r>
      <w:r w:rsidR="00F25813">
        <w:t xml:space="preserve"> sunma izni verilmiştir (Sözleşme madde 36 § 2 ve İç Tüzük 44 § 3).</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5</w:t>
      </w:r>
      <w:r w:rsidRPr="007C6A77">
        <w:fldChar w:fldCharType="end"/>
      </w:r>
      <w:r w:rsidR="00F25813">
        <w:t>.  4 Nisan 2017 tarihinde, Başkan Helena Jäderblom,</w:t>
      </w:r>
      <w:r w:rsidR="00F25813">
        <w:rPr>
          <w:i/>
        </w:rPr>
        <w:t xml:space="preserve"> </w:t>
      </w:r>
      <w:r w:rsidR="00F25813">
        <w:t>yargıçlar Branko Lubarda,</w:t>
      </w:r>
      <w:r w:rsidR="00F25813">
        <w:rPr>
          <w:i/>
        </w:rPr>
        <w:t xml:space="preserve"> </w:t>
      </w:r>
      <w:r w:rsidR="00F25813">
        <w:t>Işıl Karakaş,</w:t>
      </w:r>
      <w:r w:rsidR="00F25813">
        <w:rPr>
          <w:i/>
        </w:rPr>
        <w:t xml:space="preserve"> </w:t>
      </w:r>
      <w:r w:rsidR="00F25813">
        <w:t>Helen Keller,</w:t>
      </w:r>
      <w:r w:rsidR="00F25813">
        <w:rPr>
          <w:i/>
        </w:rPr>
        <w:t xml:space="preserve"> </w:t>
      </w:r>
      <w:r w:rsidR="00F25813">
        <w:t>Pere Pastor Vilanova, Alena Poláčková,</w:t>
      </w:r>
      <w:r w:rsidR="00F25813">
        <w:rPr>
          <w:i/>
        </w:rPr>
        <w:t xml:space="preserve"> </w:t>
      </w:r>
      <w:r w:rsidR="00F25813">
        <w:t xml:space="preserve">Georgios A. Serghides ve Yazı İşleri Müdürü Stephen Phillips’ten oluşan Büyük Daire başvurunun kabul edilebilir olduğunu oybirliğiyle beyan ederek; ikiye karşı beş oyla Sözleşme’nin 2. maddesinin usul yönünden Kıbrıs tarafından ihlal edildiğine; oy birliğiyle, 2. </w:t>
      </w:r>
      <w:r w:rsidR="00116CD2">
        <w:t>maddenin</w:t>
      </w:r>
      <w:r w:rsidR="00F25813">
        <w:t xml:space="preserve"> usul yönünden Türkiye tarafından ihlal edildiğine; ve ayrıca oybirliğiyle, Sözleşme'nin 2. maddesi ile birlikte alınan Sözleşme'nin 13. maddesi kapsamındaki şikayeti ayrı ayrı incelemeye gerek olmadığına karar vermiştir. Büyük Daire 2. maddenin esas yönüyle ilgili herhangi bir sorunun ortaya çıkmadığını ve başvuranların </w:t>
      </w:r>
      <w:r w:rsidR="00CF43EA">
        <w:t>şikâyetlerinin</w:t>
      </w:r>
      <w:r w:rsidR="00F25813">
        <w:t xml:space="preserve"> tamamının esasında usul yönüyle ilgili olduğunu tespit etmiştir. Yargıç Serghides’in kısmi muhalefet şerhi ve </w:t>
      </w:r>
      <w:r w:rsidR="00CF43EA">
        <w:t>Hâkim</w:t>
      </w:r>
      <w:r w:rsidR="00F25813">
        <w:t xml:space="preserve"> Pastor Vilanova’nın kısmi muhalefet şerhi, karara eklenmiştir.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6</w:t>
      </w:r>
      <w:r w:rsidRPr="007C6A77">
        <w:fldChar w:fldCharType="end"/>
      </w:r>
      <w:r w:rsidR="00F25813">
        <w:t>.  22 Haziran 2017 tarihinde, her iki davalı Hükümet de Sözleşme’nin 43. maddesi uyarınca davanın Büyük Daireye gönderilmesini talep etmiştir. 18 Eylül 2017 tarihinde Büyük Daire Kurulu bu talebi kabul etmiştir.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7</w:t>
      </w:r>
      <w:r w:rsidRPr="007C6A77">
        <w:fldChar w:fldCharType="end"/>
      </w:r>
      <w:r w:rsidR="00F25813">
        <w:t>.  Büyük Dairenin oluşumu, Sözleşme 26 §§ 4 ve 5. maddeleri ve İç Tüzüğün 24. maddesine göre belirlenmiştir. 18 Aralık 2017 tarihinde Büyük Daire, başvuranların Yargıç Serghides’in yargılama sürecine katılmasına itirazlarını reddetmiştir.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8</w:t>
      </w:r>
      <w:r w:rsidRPr="007C6A77">
        <w:fldChar w:fldCharType="end"/>
      </w:r>
      <w:r w:rsidR="00F25813">
        <w:t>.  Başvuranlar ve her iki Hükümet, davanın esası hakkında ayrıca yazılı görüşlerini bildirmiştir (İç Tüzük 59 § 1). Ayrıca, üçüncü taraf yorumları AIRE Merkezi’nden alınmıştır.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9</w:t>
      </w:r>
      <w:r w:rsidRPr="007C6A77">
        <w:fldChar w:fldCharType="end"/>
      </w:r>
      <w:r w:rsidR="00F25813">
        <w:t>.  28 Mart 2018 tarihinde Strazburg’da İnsan Hakları Binasında kamuya açık bir duruşma yapılmıştır (İç Tüzük 59 § 3).</w:t>
      </w:r>
    </w:p>
    <w:p w:rsidR="00F25813" w:rsidRPr="007C6A77" w:rsidRDefault="00F25813" w:rsidP="00F25813">
      <w:pPr>
        <w:pStyle w:val="ECHRPara"/>
      </w:pPr>
      <w:r>
        <w:t>Mahkeme huzurunu çıkanlar:</w:t>
      </w:r>
    </w:p>
    <w:p w:rsidR="00441BF0" w:rsidRDefault="00F25813" w:rsidP="00F25813">
      <w:pPr>
        <w:pStyle w:val="JuCourt"/>
        <w:keepLines/>
      </w:pPr>
      <w:r>
        <w:t xml:space="preserve">(a) </w:t>
      </w:r>
      <w:r>
        <w:rPr>
          <w:i/>
        </w:rPr>
        <w:t>Kıbrıs Hükümeti adına</w:t>
      </w:r>
      <w:r>
        <w:br/>
        <w:t xml:space="preserve">Bay </w:t>
      </w:r>
      <w:r>
        <w:rPr>
          <w:rStyle w:val="JuNames0"/>
        </w:rPr>
        <w:t xml:space="preserve">C. Clerides </w:t>
      </w:r>
      <w:r>
        <w:t xml:space="preserve">, Kıbrıs Cumhuriyeti Başsavcısı , </w:t>
      </w:r>
    </w:p>
    <w:p w:rsidR="00441BF0" w:rsidRDefault="00441BF0" w:rsidP="00441BF0">
      <w:pPr>
        <w:pStyle w:val="JuCourt"/>
        <w:keepLines/>
        <w:spacing w:before="0"/>
      </w:pPr>
      <w:r>
        <w:tab/>
      </w:r>
      <w:r>
        <w:tab/>
      </w:r>
      <w:r>
        <w:rPr>
          <w:i/>
        </w:rPr>
        <w:t>Temsilci,</w:t>
      </w:r>
      <w:r>
        <w:br/>
        <w:t xml:space="preserve">Bayan </w:t>
      </w:r>
      <w:r>
        <w:rPr>
          <w:rStyle w:val="JuNames0"/>
        </w:rPr>
        <w:t xml:space="preserve">C. Montgomery </w:t>
      </w:r>
      <w:r>
        <w:t xml:space="preserve">QC, duruşma avukatı, </w:t>
      </w:r>
      <w:r>
        <w:rPr>
          <w:i/>
        </w:rPr>
        <w:t>Hukuk Danışmanı,</w:t>
      </w:r>
      <w:r>
        <w:t xml:space="preserve"> </w:t>
      </w:r>
      <w:r>
        <w:br/>
        <w:t xml:space="preserve">Bayan </w:t>
      </w:r>
      <w:r>
        <w:rPr>
          <w:rStyle w:val="JuNames0"/>
        </w:rPr>
        <w:t xml:space="preserve"> J. </w:t>
      </w:r>
      <w:r w:rsidR="00116CD2">
        <w:rPr>
          <w:rStyle w:val="JuNames0"/>
        </w:rPr>
        <w:t>Jones</w:t>
      </w:r>
      <w:r w:rsidR="00116CD2">
        <w:t xml:space="preserve">, </w:t>
      </w:r>
      <w:r>
        <w:t>duruşma avukatı,</w:t>
      </w:r>
      <w:r>
        <w:br/>
        <w:t xml:space="preserve">Bayan </w:t>
      </w:r>
      <w:r>
        <w:rPr>
          <w:rStyle w:val="JuNames0"/>
        </w:rPr>
        <w:t xml:space="preserve">T. Christodoulidou </w:t>
      </w:r>
      <w:r>
        <w:t xml:space="preserve">, </w:t>
      </w:r>
    </w:p>
    <w:p w:rsidR="00F25813" w:rsidRPr="007C6A77" w:rsidRDefault="00441BF0" w:rsidP="00441BF0">
      <w:pPr>
        <w:pStyle w:val="JuCourt"/>
        <w:keepLines/>
        <w:spacing w:before="0"/>
      </w:pPr>
      <w:r>
        <w:tab/>
      </w:r>
      <w:r>
        <w:tab/>
        <w:t xml:space="preserve">Kıbrıs Cumhuriyeti A Hukuk Danışmanı, </w:t>
      </w:r>
      <w:r>
        <w:rPr>
          <w:i/>
        </w:rPr>
        <w:t>Müşavirler</w:t>
      </w:r>
    </w:p>
    <w:p w:rsidR="00F25813" w:rsidRPr="007C6A77" w:rsidRDefault="00F25813" w:rsidP="00F25813">
      <w:pPr>
        <w:rPr>
          <w:highlight w:val="yellow"/>
        </w:rPr>
      </w:pPr>
    </w:p>
    <w:p w:rsidR="00441BF0" w:rsidRDefault="00F25813" w:rsidP="00F25813">
      <w:pPr>
        <w:pStyle w:val="JuCourt"/>
        <w:keepLines/>
      </w:pPr>
      <w:r>
        <w:t>(b) Türk Hükümeti adına</w:t>
      </w:r>
      <w:r>
        <w:br/>
        <w:t xml:space="preserve">Bay S. Talmon, Hukuk Profesörü, Bonn Üniversitesi, </w:t>
      </w:r>
      <w:r>
        <w:rPr>
          <w:i/>
        </w:rPr>
        <w:t xml:space="preserve"> Hukuk Danışmanı</w:t>
      </w:r>
      <w:r>
        <w:br/>
        <w:t xml:space="preserve">Bay E. İşcan, Büyükelçi, </w:t>
      </w:r>
    </w:p>
    <w:p w:rsidR="00441BF0" w:rsidRDefault="00441BF0" w:rsidP="00441BF0">
      <w:pPr>
        <w:pStyle w:val="JuCourt"/>
        <w:keepLines/>
        <w:spacing w:before="0"/>
      </w:pPr>
      <w:r>
        <w:tab/>
        <w:t xml:space="preserve">        Avrupa Konseyi nezdinde Türkiye Daimi Temsilcisi</w:t>
      </w:r>
      <w:r>
        <w:br/>
        <w:t xml:space="preserve">Bay, Z. M. Necatigil, Hukuk Müşaviri, </w:t>
      </w:r>
    </w:p>
    <w:p w:rsidR="00F25813" w:rsidRPr="007C6A77" w:rsidRDefault="00441BF0" w:rsidP="00441BF0">
      <w:pPr>
        <w:pStyle w:val="JuCourt"/>
        <w:keepLines/>
        <w:spacing w:before="0"/>
      </w:pPr>
      <w:r>
        <w:tab/>
      </w:r>
      <w:r>
        <w:tab/>
      </w:r>
      <w:r w:rsidR="008B4471">
        <w:t>“KKTC”</w:t>
      </w:r>
      <w:r>
        <w:t xml:space="preserve"> Dışişleri Bakanlığı</w:t>
      </w:r>
    </w:p>
    <w:p w:rsidR="00441BF0" w:rsidRDefault="00F25813" w:rsidP="00F25813">
      <w:pPr>
        <w:ind w:left="397"/>
      </w:pPr>
      <w:r>
        <w:t xml:space="preserve">Bayan S. Karabacak, Hukuk Müşaviri, </w:t>
      </w:r>
      <w:r w:rsidR="008B4471">
        <w:t>“KKTC”</w:t>
      </w:r>
      <w:r>
        <w:t xml:space="preserve"> Cumhurbaşkanlığı</w:t>
      </w:r>
      <w:r>
        <w:br/>
        <w:t xml:space="preserve">Bay A. M. Başçeri, </w:t>
      </w:r>
    </w:p>
    <w:p w:rsidR="00441BF0" w:rsidRDefault="00441BF0" w:rsidP="00441BF0">
      <w:pPr>
        <w:ind w:left="397" w:firstLine="323"/>
      </w:pPr>
      <w:r>
        <w:t xml:space="preserve">   Genel Müdür Yardımcısı, Elçi, Türkiye Dışişleri Bakanlığı</w:t>
      </w:r>
    </w:p>
    <w:p w:rsidR="00441BF0" w:rsidRDefault="00F25813" w:rsidP="00441BF0">
      <w:pPr>
        <w:ind w:left="397"/>
      </w:pPr>
      <w:r>
        <w:t xml:space="preserve">Bay C. Öztaş,  </w:t>
      </w:r>
    </w:p>
    <w:p w:rsidR="00F25813" w:rsidRPr="007C6A77" w:rsidRDefault="00441BF0" w:rsidP="00441BF0">
      <w:pPr>
        <w:ind w:left="720"/>
      </w:pPr>
      <w:r>
        <w:t xml:space="preserve">   Avrupa Konseyi nezdinde Türkiye Daimi Temsilcisi Yardımcısı</w:t>
      </w:r>
    </w:p>
    <w:p w:rsidR="00441BF0" w:rsidRDefault="00F25813" w:rsidP="00F25813">
      <w:pPr>
        <w:ind w:left="397"/>
      </w:pPr>
      <w:r>
        <w:t>Bayan N.</w:t>
      </w:r>
      <w:r w:rsidR="00116CD2">
        <w:t xml:space="preserve"> </w:t>
      </w:r>
      <w:r>
        <w:t xml:space="preserve">Ferit Vechi,  </w:t>
      </w:r>
    </w:p>
    <w:p w:rsidR="00F25813" w:rsidRPr="007C6A77" w:rsidRDefault="00441BF0" w:rsidP="00441BF0">
      <w:pPr>
        <w:ind w:left="397" w:firstLine="323"/>
        <w:rPr>
          <w:szCs w:val="24"/>
        </w:rPr>
      </w:pPr>
      <w:r>
        <w:t xml:space="preserve">   Avrupa Konseyi nezdinde Türkiye Daimi Temsilci Yardımcısı</w:t>
      </w:r>
    </w:p>
    <w:p w:rsidR="00441BF0" w:rsidRDefault="00F25813" w:rsidP="00F25813">
      <w:pPr>
        <w:ind w:left="397"/>
      </w:pPr>
      <w:r>
        <w:t xml:space="preserve">Bayan D. Kalyoncu,  </w:t>
      </w:r>
    </w:p>
    <w:p w:rsidR="00F25813" w:rsidRPr="007C6A77" w:rsidRDefault="00441BF0" w:rsidP="00441BF0">
      <w:pPr>
        <w:ind w:left="397" w:firstLine="323"/>
      </w:pPr>
      <w:r>
        <w:t xml:space="preserve">   Avrupa Konseyi nezdinde Türkiye Daimi Temsilci Yardımcısı</w:t>
      </w:r>
      <w:r>
        <w:tab/>
      </w:r>
    </w:p>
    <w:p w:rsidR="00441BF0" w:rsidRDefault="00F25813" w:rsidP="00F25813">
      <w:pPr>
        <w:ind w:left="397"/>
      </w:pPr>
      <w:r>
        <w:t xml:space="preserve">Bayan B. Bilen Soydan, </w:t>
      </w:r>
    </w:p>
    <w:p w:rsidR="00F25813" w:rsidRPr="007C6A77" w:rsidRDefault="00441BF0" w:rsidP="00441BF0">
      <w:pPr>
        <w:ind w:left="720"/>
      </w:pPr>
      <w:r>
        <w:t xml:space="preserve">   Avrupa Konseyi nezdinde Türkiye Daimi Temsilci Yardımcısı</w:t>
      </w:r>
    </w:p>
    <w:p w:rsidR="00441BF0" w:rsidRDefault="00F25813" w:rsidP="00F25813">
      <w:pPr>
        <w:ind w:left="397"/>
      </w:pPr>
      <w:r>
        <w:t xml:space="preserve">Bayan, M. Aksen, </w:t>
      </w:r>
    </w:p>
    <w:p w:rsidR="00F25813" w:rsidRPr="007C6A77" w:rsidRDefault="00441BF0" w:rsidP="00441BF0">
      <w:pPr>
        <w:ind w:left="397" w:firstLine="323"/>
      </w:pPr>
      <w:r>
        <w:t xml:space="preserve">   Hukuk Uzmanı, T.C. Dışişleri Bakanlığı, </w:t>
      </w:r>
      <w:r>
        <w:rPr>
          <w:i/>
        </w:rPr>
        <w:t>Müşavirler</w:t>
      </w:r>
      <w:r>
        <w:t>;</w:t>
      </w:r>
    </w:p>
    <w:p w:rsidR="00441BF0" w:rsidRDefault="00F25813" w:rsidP="00F25813">
      <w:pPr>
        <w:pStyle w:val="JuCourt"/>
        <w:keepLines/>
      </w:pPr>
      <w:r>
        <w:t xml:space="preserve">(c) </w:t>
      </w:r>
      <w:r>
        <w:rPr>
          <w:i/>
        </w:rPr>
        <w:t>Başvuranlar adına</w:t>
      </w:r>
      <w:r>
        <w:br/>
        <w:t>Bay A. Riza, duruşma avukatı,</w:t>
      </w:r>
      <w:r>
        <w:rPr>
          <w:i/>
        </w:rPr>
        <w:t xml:space="preserve"> Hukuk Danışmanı,</w:t>
      </w:r>
      <w:r>
        <w:t xml:space="preserve"> </w:t>
      </w:r>
      <w:r>
        <w:br/>
        <w:t xml:space="preserve">Bay C. Pascalides, İngiltere ve Galler Yüksek Mahkemesi danışman avukatı ve Kıbrıs Barosu Üyesi, </w:t>
      </w:r>
      <w:r>
        <w:rPr>
          <w:i/>
        </w:rPr>
        <w:t>Müşavir</w:t>
      </w:r>
      <w:r>
        <w:t xml:space="preserve">, </w:t>
      </w:r>
    </w:p>
    <w:p w:rsidR="00F25813" w:rsidRPr="007C6A77" w:rsidRDefault="00116CD2" w:rsidP="00441BF0">
      <w:pPr>
        <w:pStyle w:val="JuCourt"/>
        <w:keepLines/>
        <w:spacing w:before="0"/>
      </w:pPr>
      <w:r>
        <w:tab/>
      </w:r>
      <w:r w:rsidR="00441BF0">
        <w:t>Bay M. Güzelyurtlu,</w:t>
      </w:r>
      <w:r w:rsidR="00441BF0">
        <w:br/>
        <w:t>Bayan</w:t>
      </w:r>
      <w:r w:rsidR="00441BF0">
        <w:rPr>
          <w:rStyle w:val="JuNames0"/>
        </w:rPr>
        <w:t xml:space="preserve"> A. </w:t>
      </w:r>
      <w:r w:rsidR="00441BF0">
        <w:t>Güzelyurtlu,</w:t>
      </w:r>
      <w:r w:rsidR="00441BF0">
        <w:tab/>
      </w:r>
    </w:p>
    <w:p w:rsidR="00F25813" w:rsidRPr="007C6A77" w:rsidRDefault="00F25813" w:rsidP="00F25813">
      <w:pPr>
        <w:pStyle w:val="ECHRPara"/>
        <w:ind w:firstLine="397"/>
        <w:rPr>
          <w:i/>
        </w:rPr>
      </w:pPr>
      <w:r>
        <w:t xml:space="preserve">Bayan </w:t>
      </w:r>
      <w:r>
        <w:rPr>
          <w:rStyle w:val="JuNames0"/>
        </w:rPr>
        <w:t xml:space="preserve">E. </w:t>
      </w:r>
      <w:r>
        <w:t xml:space="preserve">Akerson, </w:t>
      </w:r>
      <w:r>
        <w:rPr>
          <w:i/>
        </w:rPr>
        <w:t>Başvuranlar</w:t>
      </w:r>
      <w:r>
        <w:t>.</w:t>
      </w:r>
    </w:p>
    <w:p w:rsidR="00F25813" w:rsidRPr="007C6A77" w:rsidRDefault="00F25813" w:rsidP="00F25813">
      <w:pPr>
        <w:pStyle w:val="ECHRPara"/>
        <w:ind w:firstLine="397"/>
      </w:pPr>
    </w:p>
    <w:p w:rsidR="00F25813" w:rsidRPr="007C6A77" w:rsidRDefault="00F25813" w:rsidP="00F25813">
      <w:pPr>
        <w:pStyle w:val="ECHRPara"/>
      </w:pPr>
      <w:r>
        <w:t>Mahkeme, Bay Riza QC, Bayan Montgomery QC ve Bay Talmon’un söylemlerini ve Yargıçlar Sicilianos, Spano ve Bošnjak tarafından sorulan sorulara cevaplarını dinlemiştir.</w:t>
      </w:r>
    </w:p>
    <w:p w:rsidR="00F25813" w:rsidRPr="007C6A77" w:rsidRDefault="00F25813" w:rsidP="00F25813">
      <w:pPr>
        <w:pStyle w:val="ECHRPara"/>
      </w:pPr>
    </w:p>
    <w:p w:rsidR="00F25813" w:rsidRPr="007C6A77" w:rsidRDefault="00F25813" w:rsidP="00F25813">
      <w:pPr>
        <w:pStyle w:val="ECHRTitle1"/>
      </w:pPr>
      <w:r>
        <w:t>OLAYLAR</w:t>
      </w:r>
    </w:p>
    <w:p w:rsidR="00F25813" w:rsidRPr="007C6A77" w:rsidRDefault="00F25813" w:rsidP="00F25813">
      <w:pPr>
        <w:pStyle w:val="ECHRHeading1"/>
      </w:pPr>
      <w:r>
        <w:t>I. DAVANIN KOŞULLARI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10</w:t>
      </w:r>
      <w:r w:rsidRPr="007C6A77">
        <w:fldChar w:fldCharType="end"/>
      </w:r>
      <w:r w:rsidR="00F25813">
        <w:t>.  Başvuru, tümü Kıbrıs Türk kökenli Kıbrıs vatandaşı olan Elmas, Zerrin ve Eylül Güzelyurtlu'nun 15 Ocak 2005 tarihinde öldürülmesiyle ilgili soruşturmanın etkililiği ile ilgilidir.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11</w:t>
      </w:r>
      <w:r w:rsidRPr="007C6A77">
        <w:fldChar w:fldCharType="end"/>
      </w:r>
      <w:r w:rsidR="00F25813">
        <w:t>.  Başvuranlar, ölenlerin aileleridir. Birinci, ikinci ve üçüncü başvuranlar, sırasıyla, Elmas ve Zerrin Güzelyurtlu'nun çocukları ve Eylül Güzelyurtlu'nun erkek ve kız kardeşleridir. Dördüncü ve beşinci başvuranlar Zerrin Güzelyurtlu'nun kız</w:t>
      </w:r>
      <w:r w:rsidR="00116CD2">
        <w:t xml:space="preserve"> </w:t>
      </w:r>
      <w:r w:rsidR="00F25813">
        <w:t>kardeşleri, altıncı ve yedinci başvuranlar ise anne ve babasıdır.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12</w:t>
      </w:r>
      <w:r w:rsidRPr="007C6A77">
        <w:fldChar w:fldCharType="end"/>
      </w:r>
      <w:r w:rsidR="00F25813">
        <w:t xml:space="preserve">.  İlk beş başvuran sırasıyla 1978, 1976, 1980, 1962 ve 1956 yıllarında doğmuştur. Altıncı ve yedinci başvuranların her ikisi de 1933’te doğmuştur. Birinci, beşinci, altıncı ve yedinci başvuranlar </w:t>
      </w:r>
      <w:r w:rsidR="008B4471">
        <w:t>“KKTC”</w:t>
      </w:r>
      <w:r w:rsidR="00F25813">
        <w:t xml:space="preserve"> kontrolü altındaki Kıbrıs’ta yaşamaktadır. İkinci, üçüncü ve dördüncü başvuranlar Birleşik Krallık'ta yaşamaktadır.</w:t>
      </w:r>
    </w:p>
    <w:p w:rsidR="00F25813" w:rsidRPr="007C6A77" w:rsidRDefault="00F25813" w:rsidP="00F25813">
      <w:pPr>
        <w:pStyle w:val="ECHRHeading2"/>
      </w:pPr>
      <w:r>
        <w:t>A.</w:t>
      </w:r>
      <w:r>
        <w:tab/>
        <w:t xml:space="preserve">Olayların </w:t>
      </w:r>
      <w:r w:rsidR="00BC0DA4">
        <w:t>evveliyatı</w:t>
      </w:r>
      <w:r>
        <w:t xml:space="preserve"> ve Elmas, Zerrin ve Eylül Güzelyurtlu’nun öldürülmeleri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13</w:t>
      </w:r>
      <w:r w:rsidRPr="007C6A77">
        <w:fldChar w:fldCharType="end"/>
      </w:r>
      <w:r w:rsidR="00F25813">
        <w:t xml:space="preserve">.   Elmas Güzelyurtlu bir işadamıydı ve karısı Zerrin ve kızı Eylül ile birlikte </w:t>
      </w:r>
      <w:r w:rsidR="008B4471">
        <w:t>“KKTC”</w:t>
      </w:r>
      <w:r w:rsidR="00F25813">
        <w:t xml:space="preserve"> kontrolü altındaki Kıbrıs’ta yaşamaktaydı. 2000’de, sahibi olduğu bankanın iflas etmesiyle, Elmas Güzelyurtlu, Kıbrıs Hükümeti kontrolündeki Larnaka'ya kaçmış ve yerleşmiştir. Eşi ve kızı da 2001’de yanına gitmiş</w:t>
      </w:r>
      <w:r w:rsidR="00D04058">
        <w:t>tir</w:t>
      </w:r>
      <w:r w:rsidR="00F25813">
        <w:t>.  2003’te Lefkoşa'nın Ayios Dometios ilçesine taşınmışlardır (Kıbrıs Hükümeti tarafından kontrol edilen bölge).</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14</w:t>
      </w:r>
      <w:r w:rsidRPr="007C6A77">
        <w:fldChar w:fldCharType="end"/>
      </w:r>
      <w:r w:rsidR="00F25813">
        <w:t>.  15 Ocak 2005 tarihinde sabah saat 8.00 civarında Lefkoşa-Larnaka karayolu, Athiainou çıkışında (Kıbrıs Hükümeti tarafından kontrol edilen bölge) bir polis memuru emniyet şeridine park edilmiş siyah bir Lexus otomobil tespit etmiştir. Otomobilin motoru çalışıyor, sola dönüş gösterge ışığı yanıp sönüyordu ve ön yolcu koltuğunun kapısı açıktı.</w:t>
      </w:r>
    </w:p>
    <w:p w:rsidR="00F25813" w:rsidRPr="007C6A77" w:rsidRDefault="00BB2D2A" w:rsidP="00F25813">
      <w:pPr>
        <w:pStyle w:val="ECHRPara"/>
        <w:rPr>
          <w:rFonts w:ascii="Arial" w:hAnsi="Arial" w:cs="Arial"/>
          <w:sz w:val="20"/>
        </w:rPr>
      </w:pPr>
      <w:r w:rsidRPr="007C6A77">
        <w:fldChar w:fldCharType="begin"/>
      </w:r>
      <w:r w:rsidR="00F25813" w:rsidRPr="007C6A77">
        <w:instrText xml:space="preserve"> SEQ level0 \*arabic </w:instrText>
      </w:r>
      <w:r w:rsidRPr="007C6A77">
        <w:fldChar w:fldCharType="separate"/>
      </w:r>
      <w:r w:rsidR="00332D11">
        <w:rPr>
          <w:noProof/>
        </w:rPr>
        <w:t>15</w:t>
      </w:r>
      <w:r w:rsidRPr="007C6A77">
        <w:fldChar w:fldCharType="end"/>
      </w:r>
      <w:r w:rsidR="00F25813">
        <w:t>.  Zerrin ve Eylül Güzelyurtlu otomobilin arka koltuğunda ölü bulunmuştu. Elmas Güzelyurtlu ise otomobilin 1,5 metre mesafesindeki bir hendekte ölü bulun</w:t>
      </w:r>
      <w:r w:rsidR="002C7949">
        <w:t>du</w:t>
      </w:r>
      <w:r w:rsidR="00F25813">
        <w:t>. Üçünün de üzerinde pijama ve terlik vardı. Zerrin Güzelyurtlu'un boynunda yapışkan bant ve ellerinde de iki rulo yapışkan bant vardı. Hem Zerrin Güzelyurtlu’nun hem de kızı Eylül Güzelyurtlu’nun ellerinin kenarlarında yapışkan bant ile bağlandıklarına işaret eden kızarıklıklar (</w:t>
      </w:r>
      <w:r w:rsidR="00F25813">
        <w:rPr>
          <w:i/>
          <w:color w:val="000000" w:themeColor="text1"/>
        </w:rPr>
        <w:t>ερυθρότητα</w:t>
      </w:r>
      <w:r w:rsidR="00F25813">
        <w:t>) vardı. Ayrıca, boğuşma sırasında bacaklarına aldıkları çürükler bulunuyordu.</w:t>
      </w:r>
    </w:p>
    <w:p w:rsidR="00F25813" w:rsidRPr="007C6A77" w:rsidRDefault="00F25813" w:rsidP="00F25813">
      <w:pPr>
        <w:pStyle w:val="ECHRHeading2"/>
      </w:pPr>
      <w:r>
        <w:t xml:space="preserve">B. Türk makamlarına yapılan işbirliği talepleri de </w:t>
      </w:r>
      <w:r w:rsidR="007F3C38">
        <w:t>dâhil</w:t>
      </w:r>
      <w:r>
        <w:t xml:space="preserve"> olmak üzere, Kıbrıs makamları tarafından yapılan soruşturma ve alınan önlemler.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16</w:t>
      </w:r>
      <w:r w:rsidRPr="007C6A77">
        <w:fldChar w:fldCharType="end"/>
      </w:r>
      <w:r w:rsidR="00F25813">
        <w:t xml:space="preserve">.  15 Ocak 2005 tarihinde cesetleri bulan polis memuru Lefkoşa polis merkezine haber vermiştir. Birkaç polis memuru (kimi yüksek rütbeli), </w:t>
      </w:r>
      <w:r w:rsidR="009E3740">
        <w:t>hâlihazırda</w:t>
      </w:r>
      <w:r w:rsidR="00F25813">
        <w:t xml:space="preserve"> güvenlik çemberi kurulmuş olay yerine yaklaşık 8.35'te varmıştır.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17</w:t>
      </w:r>
      <w:r w:rsidRPr="007C6A77">
        <w:fldChar w:fldCharType="end"/>
      </w:r>
      <w:r w:rsidR="00F25813">
        <w:t>.  Ayrıntılı bir olay yeri soruşturması polis ve bir adli tıp uzmanı tarafından derhal gerçekleştirilmiştir. Fotoğraflar çekilmiş ve video kaydı yapılmıştır. Aracın içinde iki adet mermi, iki adet mermi kovanı ve bir adet mutfak bıçağı bulunmuştur. Aracın dışında da üçüncü bir mermi kovanı bulunmuştur.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18</w:t>
      </w:r>
      <w:r w:rsidRPr="007C6A77">
        <w:fldChar w:fldCharType="end"/>
      </w:r>
      <w:r w:rsidR="00F25813">
        <w:t>.  Sekiz polisten oluşan bir soruşturma ekibi kurulmuştur.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19</w:t>
      </w:r>
      <w:r w:rsidRPr="007C6A77">
        <w:fldChar w:fldCharType="end"/>
      </w:r>
      <w:r w:rsidR="00F25813">
        <w:t>.  Otomobil, daha detaylı bir inceleme için götürülmüştür.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20</w:t>
      </w:r>
      <w:r w:rsidRPr="007C6A77">
        <w:fldChar w:fldCharType="end"/>
      </w:r>
      <w:r w:rsidR="00F25813">
        <w:t>.  Maktullerin cesetleri, otopsi için Larnaka Hastanesi morguna gönderilmiştir. Kıbrıs polisi tarafından anne-babalarının ve kız kardeşlerinin ölümünden haberdar edildikten sonra ilk başvuran maktulleri tespit etmek için Larnaka morguna gitmiştir. Ölüm belgeleri düzenlenmiştir.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21</w:t>
      </w:r>
      <w:r w:rsidRPr="007C6A77">
        <w:fldChar w:fldCharType="end"/>
      </w:r>
      <w:r w:rsidR="00F25813">
        <w:t>.  Sabah 9.25 civarında polis memurları maktullerin Ayios Dometios'taki evlerine gitmiştir. Ev, güvenlik çemberi altına alınmıştır. Soruşturma ekibi ve adli tıp uzmanı tarafından bir soruşturma başlatılmıştır. İlk başvuran araştırmanın bir kısmı için hazır bulunmuştur. Fotoğraflar ve parmak izleri alınmış ve olay yerinde bir video kaydı yapılmıştır. Soruşturma, cinayet faillerinin eve pencereden girdiğini tespit etmiştir. Pencere dışında bir vakumlu aparat (</w:t>
      </w:r>
      <w:r w:rsidR="00F25813">
        <w:rPr>
          <w:i/>
        </w:rPr>
        <w:t>βεντούζα</w:t>
      </w:r>
      <w:r w:rsidR="00F25813">
        <w:t>) ve yapışkan bant parçaları bulunmuştur. Yapışkan bant maktullerin yatak odasında, oturma odasında ve otoparkta bulunmuştur. Güvenlik sistemi o gün sabah saat 4.35'de kapatılmış ve görünüşe göre kameralardan biri saat 4.29'da yukarı doğru döndürülmüştü.</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22</w:t>
      </w:r>
      <w:r w:rsidRPr="007C6A77">
        <w:fldChar w:fldCharType="end"/>
      </w:r>
      <w:r w:rsidR="00F25813">
        <w:t>.  Olay yeri ve maktullerin evlerinden çok sayıda delil toplanmış, adli tıp incelemesine gönderilmiştir.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23</w:t>
      </w:r>
      <w:r w:rsidRPr="007C6A77">
        <w:fldChar w:fldCharType="end"/>
      </w:r>
      <w:r w:rsidR="00F25813">
        <w:t>.  Otopsi incelemeleri 16 Ocak 2005 tarihinde bir adli tıp uzmanı tarafından gerçekleştirilmiştir. Üç maktulün her birinin, yakın mesafeden ateşli silahla vurularak şiddetli kranyoserebral yaralanmalar sonucu öldüğü ve ölümlerinin suç teşkil eden bir fiil sonucu olduğu tespit edilmiştir. Fotoğraflar çekilmiş ve otopsi incelemelerinden oluşan bir video kaydı yapılmıştır. Diğerlerinin yanı sıra, otopsi incelemeleri sırasında hazır bulunan polis memurlarından biri tarafından adli tıp uzmanının eylemlerinin ve bulgularının kaydedildiği bir eylem günlüğü/kayıt defteri (</w:t>
      </w:r>
      <w:r w:rsidR="00F25813">
        <w:rPr>
          <w:i/>
        </w:rPr>
        <w:t>ημερολόγιο ενέργειας</w:t>
      </w:r>
      <w:r w:rsidR="00F25813">
        <w:t>) tutulmuştur.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24</w:t>
      </w:r>
      <w:r w:rsidRPr="007C6A77">
        <w:fldChar w:fldCharType="end"/>
      </w:r>
      <w:r w:rsidR="00F25813">
        <w:t xml:space="preserve">.  17 Ocak 2005 tarihinde ilk başvuran, maktullerin cenazelerini cenaze töreninin düzenlendiği </w:t>
      </w:r>
      <w:r w:rsidR="008B4471">
        <w:t>“KKTC”</w:t>
      </w:r>
      <w:r w:rsidR="00F25813">
        <w:t>ye götürmüştür.</w:t>
      </w:r>
    </w:p>
    <w:bookmarkStart w:id="2" w:name="FactsCYP3"/>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25</w:t>
      </w:r>
      <w:r w:rsidRPr="007C6A77">
        <w:fldChar w:fldCharType="end"/>
      </w:r>
      <w:bookmarkEnd w:id="2"/>
      <w:r w:rsidR="00F25813">
        <w:t xml:space="preserve">.  Soruşturma, çok sayıda tanığın izinin bulunması ve sorgulanması, kuzey ve güneydeki geçiş noktaları üzerinden geçen araçların kayıtlarını araştırma ve o sırada evin yakınlarındaki şahıs ve araçların hareketlerine ilişkin bulgu elde etmek için maktullerin evinin güvenlik sistemini ve bilgisayar sabit disklerini incelemeyi kapsamıştır. Vakumlu aparatın ve yapışkan bandın Girne'de (Kuzey Kıbrıs'ta) bir </w:t>
      </w:r>
      <w:r w:rsidR="009E3740">
        <w:t>dükkândan</w:t>
      </w:r>
      <w:r w:rsidR="00F25813">
        <w:t xml:space="preserve"> geldiği tespit edilmiştir.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26</w:t>
      </w:r>
      <w:r w:rsidRPr="007C6A77">
        <w:fldChar w:fldCharType="end"/>
      </w:r>
      <w:r w:rsidR="00F25813">
        <w:t>.  Toplanan delillere göre, 15 Ocak 2005 tarihinde sabah saat 5.15 ile 5.20 arasında otomobilin ve maktullerin bulunduğu alanda üç el silah sesi duyulmuştur.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27</w:t>
      </w:r>
      <w:r w:rsidRPr="007C6A77">
        <w:fldChar w:fldCharType="end"/>
      </w:r>
      <w:r w:rsidR="00F25813">
        <w:t xml:space="preserve">.  Polis tarafından alınan tanık ifadelerine göre, cinayetlerin işlendiği saatte, plakası olmayan bir BMW otomobil maktullerin arabasının arkasında park halinde görülmüştü. Otomobillerin çevresinde dört kişi ayakta duruyor ve Lexus otomobilin yolcu koltuğunda bir kişi görülüyordu. Ayrıca, 14 Ocak 2005 tarihinde gece saat 11'de, </w:t>
      </w:r>
      <w:r w:rsidR="008B4471">
        <w:t>“KKTC”</w:t>
      </w:r>
      <w:r w:rsidR="00F25813">
        <w:t xml:space="preserve"> plakalı kırmızı bir BMW otomobilin, Dikelya Doğu İngiliz Egemen Üsler Bölgesi'nde bulunan Pergamos geçiş noktasından geçtiği, ancak Üs Bölgesi'nin kontrol noktasını geçmediği tespit edilmiştir. Ertesi gün sabah saat 5:45'te aynı araç, aynı geçiş noktasından </w:t>
      </w:r>
      <w:r w:rsidR="001E4E7C" w:rsidRPr="007C6A77">
        <w:sym w:font="Symbol" w:char="F02D"/>
      </w:r>
      <w:r w:rsidR="00F25813">
        <w:t xml:space="preserve">–yine kontrol edilmeden- </w:t>
      </w:r>
      <w:r w:rsidR="008B4471">
        <w:t>“KKTC”</w:t>
      </w:r>
      <w:r w:rsidR="00F25813">
        <w:t xml:space="preserve">ye geri dönmüştür. </w:t>
      </w:r>
      <w:r w:rsidR="008B4471">
        <w:t>“KKTC”</w:t>
      </w:r>
      <w:r w:rsidR="00F25813">
        <w:t xml:space="preserve"> de ikamet eden arabanın şoförüne başka bir şahıs eşlik etmişti.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28</w:t>
      </w:r>
      <w:r w:rsidRPr="007C6A77">
        <w:fldChar w:fldCharType="end"/>
      </w:r>
      <w:r w:rsidR="00F25813">
        <w:t>.  Elde edilen delillerden, maktullerin 15 Ocak 2005 tarihinde sabah saat 4.41'de kaçırıldıkları ve 5.15 ve 5.20 arası öldürüldükleri tespit edilmiştir.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29</w:t>
      </w:r>
      <w:r w:rsidRPr="007C6A77">
        <w:fldChar w:fldCharType="end"/>
      </w:r>
      <w:r w:rsidR="00F25813">
        <w:t>.  İlgili polis raporlarına göre, cinayette beş araç ve sekizden fazla kişinin yer alması iyi planlanmış ve destekli bir suça işaret eden bir olguydu</w:t>
      </w:r>
      <w:r w:rsidR="009C0655">
        <w:t>.</w:t>
      </w:r>
    </w:p>
    <w:bookmarkStart w:id="3" w:name="ballistic"/>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30</w:t>
      </w:r>
      <w:r w:rsidRPr="007C6A77">
        <w:fldChar w:fldCharType="end"/>
      </w:r>
      <w:bookmarkEnd w:id="3"/>
      <w:r w:rsidR="00F25813">
        <w:t>.  Balistik muayene, kurşunların aynı tabancadan atıldığını tespit etmiştir; iki kovan Romen imalatı ve bir tanesi de Türk imalatıydı</w:t>
      </w:r>
      <w:r w:rsidR="0092511B">
        <w:t>.</w:t>
      </w:r>
    </w:p>
    <w:bookmarkStart w:id="4" w:name="Suspects5"/>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31</w:t>
      </w:r>
      <w:r w:rsidRPr="007C6A77">
        <w:fldChar w:fldCharType="end"/>
      </w:r>
      <w:bookmarkEnd w:id="4"/>
      <w:r w:rsidR="00F25813">
        <w:t xml:space="preserve">.  İlk soruşturmada beş şüpheli tespit edilmiştir: M.C (“Birinci şüpheli”), E.F. (“İkinci şüpheli”), F.M: (“Üçüncü şüpheli”), M.M (“Dördüncü şüpheli”), ve H.O. (“Beşinci şüpheli”). </w:t>
      </w:r>
      <w:r w:rsidR="008B4471">
        <w:t>“KKTC”</w:t>
      </w:r>
      <w:r w:rsidR="00F25813">
        <w:t xml:space="preserve"> makamlarına göre birinci, ikinci, üçüncü ve dördüncü şüpheli Kıbrıs uyruklu ve </w:t>
      </w:r>
      <w:r w:rsidR="008B4471">
        <w:t>“KKTC”</w:t>
      </w:r>
      <w:r w:rsidR="00F25813">
        <w:t xml:space="preserve"> vatandaşıydılar. Beşinci şüpheli Türk uyrukluydu.</w:t>
      </w:r>
    </w:p>
    <w:bookmarkStart w:id="5" w:name="DNA1"/>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32</w:t>
      </w:r>
      <w:r w:rsidRPr="007C6A77">
        <w:fldChar w:fldCharType="end"/>
      </w:r>
      <w:bookmarkEnd w:id="5"/>
      <w:r w:rsidR="00F25813">
        <w:t xml:space="preserve">.  Birinci, ikinci ve dördüncü şüpheliye ait DNA, olay yerinden ve maktullerin evlerinden alınan delillerde bulunmuştur. İlk şüpheliye ait DNA Elmas Güzelyurtlu'nun arabasının direksiyonunda bulunmuştur. Geçmişte işledikleri diğer suçlar (yasa dışı silah bulundurma ve hırsızlık) sebebiyle genetik bilgileri alındığı için, bu üç şüphelinin hepsinin DNA'sı polis yetkililerinde </w:t>
      </w:r>
      <w:r w:rsidR="009E3740">
        <w:t>hâlihazırda</w:t>
      </w:r>
      <w:r w:rsidR="00F25813">
        <w:t xml:space="preserve"> bulunmaktaydı. Ayrıca, BMW otomobilinin dördüncü şüpheli adına kayıtlı olduğu ve ilk şüpheli tarafından sürüldüğü tespit edilmiştir.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33</w:t>
      </w:r>
      <w:r w:rsidRPr="007C6A77">
        <w:fldChar w:fldCharType="end"/>
      </w:r>
      <w:r w:rsidR="00F25813">
        <w:t xml:space="preserve">.  Diğer suçlarla ilgili olarak bu üç şüpheli hakkında </w:t>
      </w:r>
      <w:r w:rsidR="009E3740">
        <w:t>hâlihazırda</w:t>
      </w:r>
      <w:r w:rsidR="00F25813">
        <w:t xml:space="preserve"> tutuklama müzekkereleri çıkarılmıştı; ilk şüpheli bir uyuşturucu davasıyla ilgili olarak ve sahte bilgilerle Kıbrıs Cumhuriyeti pasaportu ve kimlik belgesi almaktan; ikinci şüpheli, yasa dışı ateşli silah bulundurmaktan ve taşımaktan ve dördüncü şüpheli de yine yasa dışı ateşli silah bulundurmaktan aranıyordu.</w:t>
      </w:r>
    </w:p>
    <w:bookmarkStart w:id="6" w:name="DNA2"/>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34</w:t>
      </w:r>
      <w:r w:rsidRPr="007C6A77">
        <w:fldChar w:fldCharType="end"/>
      </w:r>
      <w:bookmarkEnd w:id="6"/>
      <w:r w:rsidR="00F25813">
        <w:t>.  Diğer iki şüphelinin cinayetle olan bağlantısı başka delillerle tespit edildi. Ayrıca, kimliği belirsiz iki kişiye ait DNA da mevcuttu.</w:t>
      </w:r>
    </w:p>
    <w:bookmarkStart w:id="7" w:name="warrants"/>
    <w:p w:rsidR="00F25813" w:rsidRPr="007C6A77" w:rsidRDefault="00BB2D2A" w:rsidP="00F25813">
      <w:pPr>
        <w:pStyle w:val="ECHRPara"/>
        <w:rPr>
          <w:rFonts w:cstheme="minorHAnsi"/>
          <w:szCs w:val="24"/>
        </w:rPr>
      </w:pPr>
      <w:r w:rsidRPr="007C6A77">
        <w:rPr>
          <w:rFonts w:cstheme="minorHAnsi"/>
          <w:szCs w:val="24"/>
        </w:rPr>
        <w:fldChar w:fldCharType="begin"/>
      </w:r>
      <w:r w:rsidR="00F25813" w:rsidRPr="007C6A77">
        <w:rPr>
          <w:rFonts w:cstheme="minorHAnsi"/>
          <w:szCs w:val="24"/>
        </w:rPr>
        <w:instrText xml:space="preserve"> SEQ level0 \*arabic </w:instrText>
      </w:r>
      <w:r w:rsidRPr="007C6A77">
        <w:rPr>
          <w:rFonts w:cstheme="minorHAnsi"/>
          <w:szCs w:val="24"/>
        </w:rPr>
        <w:fldChar w:fldCharType="separate"/>
      </w:r>
      <w:r w:rsidR="00332D11">
        <w:rPr>
          <w:rFonts w:cstheme="minorHAnsi"/>
          <w:noProof/>
          <w:szCs w:val="24"/>
        </w:rPr>
        <w:t>35</w:t>
      </w:r>
      <w:r w:rsidRPr="007C6A77">
        <w:rPr>
          <w:rFonts w:cstheme="minorHAnsi"/>
          <w:szCs w:val="24"/>
        </w:rPr>
        <w:fldChar w:fldCharType="end"/>
      </w:r>
      <w:bookmarkEnd w:id="7"/>
      <w:r w:rsidR="00F25813">
        <w:t>.  20 Ocak 2005 tarihinde Larnaka Bölge Mahkemesi, taammüden cinayet, cinayet işlemek için komplo kurmak, bir kişiyi öldürme amaçlı kaçırmak (</w:t>
      </w:r>
      <w:r w:rsidR="00F25813">
        <w:rPr>
          <w:i/>
        </w:rPr>
        <w:t>απαγωγή</w:t>
      </w:r>
      <w:r w:rsidR="00F25813">
        <w:t xml:space="preserve">) (Ceza Kanununun 203, 204, 217 ve 249. maddeleri, 154. başlık) ve B kategorisindeki bir ateşli silahın yasadışı bir şekilde devri [Ateşli Silahlar ve Bıçaklar ile Diğer Aletler Hakkında Kanununun 4 (1). ve  51. kısımları (değiştirilmiş haliyle) 113(I) / 2004 Kanunu] suçlarını işledikleri yönünde makul bir şüphe olduğu gerekçesiyle beş şüpheli hakkında tutuklama müzekkereleri çıkarmıştır. </w:t>
      </w:r>
    </w:p>
    <w:bookmarkStart w:id="8" w:name="stoplist"/>
    <w:p w:rsidR="00F25813" w:rsidRPr="007C6A77" w:rsidRDefault="00BB2D2A" w:rsidP="00F25813">
      <w:pPr>
        <w:pStyle w:val="ECHRPara"/>
      </w:pPr>
      <w:r w:rsidRPr="007C6A77">
        <w:rPr>
          <w:rFonts w:cstheme="minorHAnsi"/>
          <w:szCs w:val="24"/>
        </w:rPr>
        <w:fldChar w:fldCharType="begin"/>
      </w:r>
      <w:r w:rsidR="00F25813" w:rsidRPr="007C6A77">
        <w:rPr>
          <w:rFonts w:cstheme="minorHAnsi"/>
          <w:szCs w:val="24"/>
        </w:rPr>
        <w:instrText xml:space="preserve"> SEQ level0 \*arabic </w:instrText>
      </w:r>
      <w:r w:rsidRPr="007C6A77">
        <w:rPr>
          <w:rFonts w:cstheme="minorHAnsi"/>
          <w:szCs w:val="24"/>
        </w:rPr>
        <w:fldChar w:fldCharType="separate"/>
      </w:r>
      <w:r w:rsidR="00332D11">
        <w:rPr>
          <w:rFonts w:cstheme="minorHAnsi"/>
          <w:noProof/>
          <w:szCs w:val="24"/>
        </w:rPr>
        <w:t>36</w:t>
      </w:r>
      <w:r w:rsidRPr="007C6A77">
        <w:rPr>
          <w:rFonts w:cstheme="minorHAnsi"/>
          <w:szCs w:val="24"/>
        </w:rPr>
        <w:fldChar w:fldCharType="end"/>
      </w:r>
      <w:bookmarkEnd w:id="8"/>
      <w:r w:rsidR="00F25813">
        <w:t>.  21 Ocak 2005 tarihinde polis yetkilileri, göçmenlik makamlarına "kara liste" bildirimleri göndermişler (diğer bir deyişle şüphelileri "kara liste"lerine - Kıbrıs'a giriş ve çıkışlardaki yasaklanmış veya izlemeye tabi kişilerin kaydı- eklemelerini isteyen bildirimler) ve Kıbrıs’tan ayrılmaya teşebbüs etmeleri durumunda bunu polise bildirmelerini istemişlerdir.</w:t>
      </w:r>
    </w:p>
    <w:p w:rsidR="00F25813" w:rsidRPr="007C6A77" w:rsidRDefault="00BB2D2A" w:rsidP="00F25813">
      <w:pPr>
        <w:pStyle w:val="ECHRPara"/>
        <w:rPr>
          <w:rFonts w:cstheme="minorHAnsi"/>
          <w:szCs w:val="24"/>
        </w:rPr>
      </w:pPr>
      <w:r w:rsidRPr="007C6A77">
        <w:rPr>
          <w:rFonts w:cstheme="minorHAnsi"/>
          <w:szCs w:val="24"/>
        </w:rPr>
        <w:fldChar w:fldCharType="begin"/>
      </w:r>
      <w:r w:rsidR="00F25813" w:rsidRPr="007C6A77">
        <w:rPr>
          <w:rFonts w:cstheme="minorHAnsi"/>
          <w:szCs w:val="24"/>
        </w:rPr>
        <w:instrText xml:space="preserve"> SEQ level0 \*arabic </w:instrText>
      </w:r>
      <w:r w:rsidRPr="007C6A77">
        <w:rPr>
          <w:rFonts w:cstheme="minorHAnsi"/>
          <w:szCs w:val="24"/>
        </w:rPr>
        <w:fldChar w:fldCharType="separate"/>
      </w:r>
      <w:r w:rsidR="00332D11">
        <w:rPr>
          <w:rFonts w:cstheme="minorHAnsi"/>
          <w:noProof/>
          <w:szCs w:val="24"/>
        </w:rPr>
        <w:t>37</w:t>
      </w:r>
      <w:r w:rsidRPr="007C6A77">
        <w:rPr>
          <w:rFonts w:cstheme="minorHAnsi"/>
          <w:szCs w:val="24"/>
        </w:rPr>
        <w:fldChar w:fldCharType="end"/>
      </w:r>
      <w:r w:rsidR="00F25813">
        <w:t>.  23 Ocak 2005 tarihinde polis, iade edilmelerini sağlamak üzere şüphelileri aramak ve tutuklamak için Interpol'e "Kırmızı Bülten" talebinde bulunmuştur.</w:t>
      </w:r>
    </w:p>
    <w:p w:rsidR="00F25813" w:rsidRPr="007C6A77" w:rsidRDefault="00BB2D2A" w:rsidP="00F25813">
      <w:pPr>
        <w:pStyle w:val="ECHRPara"/>
        <w:rPr>
          <w:rFonts w:ascii="Arial" w:hAnsi="Arial" w:cs="Arial"/>
          <w:color w:val="383838"/>
          <w:sz w:val="17"/>
          <w:szCs w:val="17"/>
        </w:rPr>
      </w:pPr>
      <w:r w:rsidRPr="007C6A77">
        <w:fldChar w:fldCharType="begin"/>
      </w:r>
      <w:r w:rsidR="00F25813" w:rsidRPr="007C6A77">
        <w:instrText xml:space="preserve"> SEQ level0 \*arabic </w:instrText>
      </w:r>
      <w:r w:rsidRPr="007C6A77">
        <w:fldChar w:fldCharType="separate"/>
      </w:r>
      <w:r w:rsidR="00332D11">
        <w:rPr>
          <w:noProof/>
        </w:rPr>
        <w:t>38</w:t>
      </w:r>
      <w:r w:rsidRPr="007C6A77">
        <w:fldChar w:fldCharType="end"/>
      </w:r>
      <w:r w:rsidR="00F25813">
        <w:t>.  Kırmızı Bülten ilk dört şüpheli için 26 Ocak 2005 tarihinde ve beşinci şüpheli içinse 28 Ocak 2005 tarihinde Interpol tarafından yayımlanmıştır. Bültenler, şüphelilerin geçici olarak tutuklanmalarını istemiştir ve iadelerin, Kıbrıs Cumhuriyeti'nin iki taraflı suçluların iadesi anlaşması, iade sözleşmesi veya iadenin hükümlerini içeren başka bir sözleşme ya da antlaşma ile bağlantılı olduğu herhangi bir ülkeden talep edilebileceğini bildirmiştir.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39</w:t>
      </w:r>
      <w:r w:rsidRPr="007C6A77">
        <w:fldChar w:fldCharType="end"/>
      </w:r>
      <w:r w:rsidR="00F25813">
        <w:t>.  Polis yetkilileri, Kıbrıs Cumhuriyeti’nin kontrolü altındaki bölgelerde şüphelileri izleyemedikleri için 27 Ocak 2005 tarihinde Avrupa tutuklama müzekkeresinin çıkarılması için başvuruda bulunmuş</w:t>
      </w:r>
      <w:r w:rsidR="00BF6D3F">
        <w:t>tur</w:t>
      </w:r>
      <w:r w:rsidR="00F25813">
        <w:t>. Aynı gün, Larnaka Bölge Mahkemesi, beş şüphelinin tamamına ilişkin Avrupa tutuklama müzekkeresi çıkarmıştır.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40</w:t>
      </w:r>
      <w:r w:rsidRPr="007C6A77">
        <w:fldChar w:fldCharType="end"/>
      </w:r>
      <w:r w:rsidR="00F25813">
        <w:t>.  23 ve 28 Ocak 2005 tarihlerinde, Interpol’ün Kıbrıs bürosu, T.C. İçişleri Bakanlığına, Kıbrıs polisinin tutuklanmaları istemiyle birinci, ikinci, üçüncü ve beşinci şüphelileri aradıklarını ve Türkiye’ye girdilerse tutuklamaları gerektiğini bildiren e-postalar göndermiştir.</w:t>
      </w:r>
    </w:p>
    <w:bookmarkStart w:id="9" w:name="suspects3"/>
    <w:p w:rsidR="00F25813" w:rsidRPr="007C6A77" w:rsidRDefault="00BB2D2A" w:rsidP="00F25813">
      <w:pPr>
        <w:pStyle w:val="ECHRPara"/>
      </w:pPr>
      <w:r w:rsidRPr="007C6A77">
        <w:rPr>
          <w:rFonts w:cstheme="minorHAnsi"/>
          <w:szCs w:val="24"/>
        </w:rPr>
        <w:fldChar w:fldCharType="begin"/>
      </w:r>
      <w:r w:rsidR="00F25813" w:rsidRPr="007C6A77">
        <w:rPr>
          <w:rFonts w:cstheme="minorHAnsi"/>
          <w:szCs w:val="24"/>
        </w:rPr>
        <w:instrText xml:space="preserve"> SEQ level0 \*arabic </w:instrText>
      </w:r>
      <w:r w:rsidRPr="007C6A77">
        <w:rPr>
          <w:rFonts w:cstheme="minorHAnsi"/>
          <w:szCs w:val="24"/>
        </w:rPr>
        <w:fldChar w:fldCharType="separate"/>
      </w:r>
      <w:r w:rsidR="00332D11">
        <w:rPr>
          <w:rFonts w:cstheme="minorHAnsi"/>
          <w:noProof/>
          <w:szCs w:val="24"/>
        </w:rPr>
        <w:t>41</w:t>
      </w:r>
      <w:r w:rsidRPr="007C6A77">
        <w:rPr>
          <w:rFonts w:cstheme="minorHAnsi"/>
          <w:szCs w:val="24"/>
        </w:rPr>
        <w:fldChar w:fldCharType="end"/>
      </w:r>
      <w:bookmarkEnd w:id="9"/>
      <w:r w:rsidR="00F25813">
        <w:t xml:space="preserve">.  Soruşturma devam ederken, üç şüpheli daha tespit edilmiştir: A.F. (”altıncı şüpheli”), S.Y. (”Yedinci şüpheli”), ve Z.E. (”Sekizinci şüpheli”). </w:t>
      </w:r>
      <w:r w:rsidR="008B4471">
        <w:t>“KKTC”</w:t>
      </w:r>
      <w:r w:rsidR="00F25813">
        <w:t xml:space="preserve"> makamlarına göre altıncı ve sekizinci şüpheli Kıbrıs uyruklu olmakla birlikte </w:t>
      </w:r>
      <w:r w:rsidR="008B4471">
        <w:t>“KKTC”</w:t>
      </w:r>
      <w:r w:rsidR="00F25813">
        <w:t xml:space="preserve"> vatandaşlarıydı. Yedinci şüpheli Türk uyrukluydu. Altıncı şüpheli, 2003 yılından bu yana, ağır bedensel zararlara neden olan bir saldırıyla ilgili bir dava</w:t>
      </w:r>
      <w:r w:rsidR="003E1E5F">
        <w:t>dan</w:t>
      </w:r>
      <w:r w:rsidR="00CD5AEB">
        <w:t xml:space="preserve"> dolayı</w:t>
      </w:r>
      <w:r w:rsidR="00F25813">
        <w:t xml:space="preserve"> yetkililer tarafından aranmaktaydı. İlgili dosya, 2004’te “aksi takdirde imha edilecek” (</w:t>
      </w:r>
      <w:r w:rsidR="00F25813">
        <w:rPr>
          <w:i/>
        </w:rPr>
        <w:t>Άλλως Διατεθείσα</w:t>
      </w:r>
      <w:r w:rsidR="00F25813">
        <w:t>) olarak sınıflandırılmıştır.</w:t>
      </w:r>
    </w:p>
    <w:bookmarkStart w:id="10" w:name="AW3suspects"/>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42</w:t>
      </w:r>
      <w:r w:rsidRPr="007C6A77">
        <w:fldChar w:fldCharType="end"/>
      </w:r>
      <w:bookmarkEnd w:id="10"/>
      <w:r w:rsidR="00F25813">
        <w:t xml:space="preserve">.  4 Şubat 2005 tarihinde Larnaka Bölge Mahkemesi diğer şüphelilerle aynı gerekçelerle üç şüpheliye ilişkin tutuklama müzekkeresi çıkarmıştır (bk. yukarıdaki </w:t>
      </w:r>
      <w:r w:rsidR="0065039F">
        <w:fldChar w:fldCharType="begin"/>
      </w:r>
      <w:r w:rsidR="0065039F">
        <w:instrText xml:space="preserve"> REF warrants \h  \* MERGEFORMAT </w:instrText>
      </w:r>
      <w:r w:rsidR="0065039F">
        <w:fldChar w:fldCharType="separate"/>
      </w:r>
      <w:r w:rsidR="00332D11">
        <w:rPr>
          <w:rFonts w:cstheme="minorHAnsi"/>
          <w:szCs w:val="24"/>
        </w:rPr>
        <w:t>35</w:t>
      </w:r>
      <w:r w:rsidR="0065039F">
        <w:fldChar w:fldCharType="end"/>
      </w:r>
      <w:r w:rsidR="00F25813">
        <w:t xml:space="preserve"> paragraf).</w:t>
      </w:r>
    </w:p>
    <w:bookmarkStart w:id="11" w:name="EAW3suspects"/>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43</w:t>
      </w:r>
      <w:r w:rsidRPr="007C6A77">
        <w:fldChar w:fldCharType="end"/>
      </w:r>
      <w:bookmarkEnd w:id="11"/>
      <w:r w:rsidR="00F25813">
        <w:t>.  10 Şubat 2005 tarihinde, aynı mahkeme bu şüphelilere ilişkin Avrupa tutuklama müzekkeresi çıkarmıştır.</w:t>
      </w:r>
    </w:p>
    <w:bookmarkStart w:id="12" w:name="Rednotices3suspects"/>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44</w:t>
      </w:r>
      <w:r w:rsidRPr="007C6A77">
        <w:fldChar w:fldCharType="end"/>
      </w:r>
      <w:bookmarkEnd w:id="12"/>
      <w:r w:rsidR="00F25813">
        <w:t>.  11 Şubat 2005 tarihinde Kıbrıs makamlarının talebi üzerine, son üç şüpheli hakkında Kırmızı Bülten yayımlamıştır.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45</w:t>
      </w:r>
      <w:r w:rsidRPr="007C6A77">
        <w:fldChar w:fldCharType="end"/>
      </w:r>
      <w:r w:rsidR="00F25813">
        <w:t>.  Aynı gün, Interpol’ün Kıbrıs bürosu tarafından T.C. İçişleri Bakanlığına beşinci şüphelinin aynı gün Mersin'e gideceği konusunda haber verildiğini bildiren Türk makamlarına gerekli tedbirleri almasını talep eden bir e-posta gönderilmiştir.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46</w:t>
      </w:r>
      <w:r w:rsidRPr="007C6A77">
        <w:fldChar w:fldCharType="end"/>
      </w:r>
      <w:r w:rsidR="00F25813">
        <w:t xml:space="preserve">.  15 Şubat 2005 tarihinde polis yetkilileri, göçmenlik makamlarına "kara liste" bildirimlerini iletmiştir (bk. yukarıdaki </w:t>
      </w:r>
      <w:r w:rsidR="0065039F">
        <w:fldChar w:fldCharType="begin"/>
      </w:r>
      <w:r w:rsidR="0065039F">
        <w:instrText xml:space="preserve"> REF stoplist \h  \* MERGEFORMAT </w:instrText>
      </w:r>
      <w:r w:rsidR="0065039F">
        <w:fldChar w:fldCharType="separate"/>
      </w:r>
      <w:r w:rsidR="00332D11">
        <w:rPr>
          <w:rFonts w:cstheme="minorHAnsi"/>
          <w:szCs w:val="24"/>
        </w:rPr>
        <w:t>36</w:t>
      </w:r>
      <w:r w:rsidR="0065039F">
        <w:fldChar w:fldCharType="end"/>
      </w:r>
      <w:r w:rsidR="00F25813">
        <w:t xml:space="preserve"> paragraf).</w:t>
      </w:r>
    </w:p>
    <w:p w:rsidR="00F25813" w:rsidRPr="007C6A77" w:rsidRDefault="00BB2D2A" w:rsidP="00F25813">
      <w:pPr>
        <w:pStyle w:val="ECHRPara"/>
      </w:pPr>
      <w:r w:rsidRPr="007C6A77">
        <w:rPr>
          <w:rFonts w:cstheme="minorHAnsi"/>
          <w:szCs w:val="24"/>
        </w:rPr>
        <w:fldChar w:fldCharType="begin"/>
      </w:r>
      <w:r w:rsidR="00F25813" w:rsidRPr="007C6A77">
        <w:rPr>
          <w:rFonts w:cstheme="minorHAnsi"/>
          <w:szCs w:val="24"/>
        </w:rPr>
        <w:instrText xml:space="preserve"> SEQ level0 \*arabic </w:instrText>
      </w:r>
      <w:r w:rsidRPr="007C6A77">
        <w:rPr>
          <w:rFonts w:cstheme="minorHAnsi"/>
          <w:szCs w:val="24"/>
        </w:rPr>
        <w:fldChar w:fldCharType="separate"/>
      </w:r>
      <w:r w:rsidR="00332D11">
        <w:rPr>
          <w:rFonts w:cstheme="minorHAnsi"/>
          <w:noProof/>
          <w:szCs w:val="24"/>
        </w:rPr>
        <w:t>47</w:t>
      </w:r>
      <w:r w:rsidRPr="007C6A77">
        <w:rPr>
          <w:rFonts w:cstheme="minorHAnsi"/>
          <w:szCs w:val="24"/>
        </w:rPr>
        <w:fldChar w:fldCharType="end"/>
      </w:r>
      <w:r w:rsidR="00F25813">
        <w:t xml:space="preserve">.  Kıbrıs Hükümeti, soruşturma ilerledikçe şüphelileri olaya </w:t>
      </w:r>
      <w:r w:rsidR="007F3C38">
        <w:t>müdahil</w:t>
      </w:r>
      <w:r w:rsidR="00F25813">
        <w:t xml:space="preserve"> eden daha fazla delil toplandığını belirtmiştir. Maktullerin yakınları, maktulleri tanıyan veya onlarla bağlantılı olanlar ve soruşturmaya katılan kişiler de </w:t>
      </w:r>
      <w:r w:rsidR="007F3C38">
        <w:t>dâhil</w:t>
      </w:r>
      <w:r w:rsidR="00F25813">
        <w:t xml:space="preserve"> olmak üzere çeşitli kişilerden 180'den fazla ifade alınmıştır. Yetkili makamlar ayrıca bir dizi olası zanlı üzerinde de DNA testi yapmış ancak suçla bağlantıları bulunmamıştır.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48</w:t>
      </w:r>
      <w:r w:rsidRPr="007C6A77">
        <w:fldChar w:fldCharType="end"/>
      </w:r>
      <w:r w:rsidR="00F25813">
        <w:t>.   Başvuranların temsilcileri, Ocak 2006 ve Temmuz 2006'da Kıbrıs Cumhuriyeti Başsavcısı ile dava hakkında görüşmeler yapmıştır. 15 Mart 2006 tarihinde, başvuranlara talepleri üzerine Kıbrıs polisi tarafından dava hakkında bir ilerleme raporu verilmiştir. Başvuranlar, tüm delil materyallerini talep ettiklerini ancak bunun raporla birlikte verilmediğini belirtmiştir.</w:t>
      </w:r>
    </w:p>
    <w:bookmarkStart w:id="13" w:name="suspect8"/>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49</w:t>
      </w:r>
      <w:r w:rsidRPr="007C6A77">
        <w:fldChar w:fldCharType="end"/>
      </w:r>
      <w:bookmarkEnd w:id="13"/>
      <w:r w:rsidR="00F25813">
        <w:t xml:space="preserve">.  12 Temmuz 2006 tarihinde sekizinci şüpheli Limasol'da (Kıbrıs Hükümeti tarafından kontrol edilen bölgede) Kıbrıs polisi tarafından tutuklanmıştır. Ertesi gün, Larnaka Bölge Mahkemesinin Ceza Kanunu'nun 203, 204, 217 ve 249. maddeleri (154. Başlık) ve Ateşli Silahlar ve Bıçaklar İle Diğer Aletler Hakkında Kanununun 4 (1). ve 51. kısımları (değiştirilmiş haliyle 113(I) / 2004 Kanunu) uyarınca suç işlemiş olduğuna ilişkin makul bir şüphenin var olduğu gerekçesi ile sekiz gün boyunca gözaltında tutulmuştur.  Ancak, sekizinci şüpheli sorgulandıktan sonra yetkili makamlar tarafından suçlarla bağlantı kuracak yeterli delil bulunmadığından, gözaltı süresinin dolması üzerine serbest bırakılmıştır. İlgili polis raporuna göre, Kıbrıs polisi </w:t>
      </w:r>
      <w:r w:rsidR="008B4471">
        <w:t>“KKTC”</w:t>
      </w:r>
      <w:r w:rsidR="00F25813">
        <w:t xml:space="preserve"> de soruşturma yapamayacağından, iddialarından bir kısmı araştırılamamıştır. Dahası, DNA testleri de kendisini suçla ilişkilendirmemiştir.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50</w:t>
      </w:r>
      <w:r w:rsidRPr="007C6A77">
        <w:fldChar w:fldCharType="end"/>
      </w:r>
      <w:r w:rsidR="00F25813">
        <w:t xml:space="preserve">.  26 Temmuz 2006 tarihli bir mektup ile Başsavcı başvuranların temsilcilerini Kıbrıs Cumhuriyeti’nin “Türkiye tarafından işgal edilen Kıbrıs Cumhuriyeti’nin topraklarında (sorumlu olabilecek kişilerin [o zamanlar bulunduğu]) etkili bir kontrolü olmadığını göz önünde bulundurup ilgili Sözleşme içtihatlarını dikkate alarak" cinayeti araştırmak ve sorumluları Kıbrıs Cumhuriyeti Mahkemeleri huzuruna çıkarmak için kendi yetkisi </w:t>
      </w:r>
      <w:r w:rsidR="007F3C38">
        <w:t>dâhil</w:t>
      </w:r>
      <w:r w:rsidR="00F25813">
        <w:t>inde her şeyi yaptığı” konusunda temin etmiştir. Ayrıca başvuranların temsilcilerine kendilerini soruşturmanın aşamalarından haberdar edeceğini ve maktullerin aileleri adına gönderdikleri soruları cevaplayacağını ve bunun, kendi, başvuranların temsilcileri ve polis arasında kendi ofisinde yapılacak görüşmelerle gerçekleştirilebileceğini bildirmiştir.</w:t>
      </w:r>
    </w:p>
    <w:bookmarkStart w:id="14" w:name="rewexttobritbases"/>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51</w:t>
      </w:r>
      <w:r w:rsidRPr="007C6A77">
        <w:fldChar w:fldCharType="end"/>
      </w:r>
      <w:bookmarkEnd w:id="14"/>
      <w:r w:rsidR="00F25813">
        <w:t>.  Larnaka polis soruşturma dairesinin 1 Temmuz 2007 tarihli bir raporu, soruşturmanın İngiliz üslerine ve Girne ve Karavas'ın işgal altındaki bölgelerine kadar genişletildiğini belirtmiştir. Rapor ayrıca yetkililer Interpol</w:t>
      </w:r>
      <w:r w:rsidR="006025B5">
        <w:t>’ün</w:t>
      </w:r>
      <w:r w:rsidR="00F25813">
        <w:t xml:space="preserve"> Ankara</w:t>
      </w:r>
      <w:r w:rsidR="006025B5">
        <w:t xml:space="preserve"> bürosun</w:t>
      </w:r>
      <w:r w:rsidR="00F25813">
        <w:t>dan cevap beklerken soruşturmanın halen sürdüğünü de belirtmiştir. Raporda, soruşturma ekibindeki görevlilerin davayla ilgili olağanüstü çalışmalarından da övgüyle söz edilmiştir.</w:t>
      </w:r>
    </w:p>
    <w:bookmarkStart w:id="15" w:name="CYPfileclassif"/>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52</w:t>
      </w:r>
      <w:r w:rsidRPr="007C6A77">
        <w:fldChar w:fldCharType="end"/>
      </w:r>
      <w:bookmarkEnd w:id="15"/>
      <w:r w:rsidR="00F25813">
        <w:t xml:space="preserve">.  Kıbrıs Cumhuriyeti makamları, tutuklama müzekkerelerini </w:t>
      </w:r>
      <w:r w:rsidR="008B4471">
        <w:t>“KKTC”</w:t>
      </w:r>
      <w:r w:rsidR="00F25813">
        <w:t xml:space="preserve">de yürütemediği veya </w:t>
      </w:r>
      <w:r w:rsidR="00E562AE" w:rsidRPr="00E562AE">
        <w:t xml:space="preserve">Birleşmiş </w:t>
      </w:r>
      <w:r w:rsidR="00E562AE">
        <w:t>Milletler Barış Gücü Misyonu</w:t>
      </w:r>
      <w:r w:rsidR="00E562AE" w:rsidRPr="00E562AE">
        <w:t xml:space="preserve"> (BMBG)</w:t>
      </w:r>
      <w:r w:rsidR="00F25813">
        <w:t xml:space="preserve"> aracılığıyla diğer adımları atamadığı için ve uluslararası tutuklama müzekkereleri</w:t>
      </w:r>
      <w:r w:rsidR="00C328FA">
        <w:t>ne rağmen</w:t>
      </w:r>
      <w:r w:rsidR="00F25813">
        <w:t xml:space="preserve"> şüphelilerin Türkiye tarafından teslim edilme</w:t>
      </w:r>
      <w:r w:rsidR="00AE51C7">
        <w:t>me</w:t>
      </w:r>
      <w:r w:rsidR="00F25813">
        <w:t>sin</w:t>
      </w:r>
      <w:r w:rsidR="00AE51C7">
        <w:t>den</w:t>
      </w:r>
      <w:r w:rsidR="00F25813">
        <w:t xml:space="preserve"> dolayı soruşturmadan sorumlu polis memuru 30 Mart 2008 tarihli bir raporda, davanın gelecekteki gelişmeleri bekleyen "aksi takdirde imha edilecek” bir dosya olmasını önermiştir.</w:t>
      </w:r>
    </w:p>
    <w:bookmarkStart w:id="16" w:name="CYPfileclassif2"/>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53</w:t>
      </w:r>
      <w:r w:rsidRPr="007C6A77">
        <w:fldChar w:fldCharType="end"/>
      </w:r>
      <w:bookmarkEnd w:id="16"/>
      <w:r w:rsidR="00F25813">
        <w:t>.  7 Nisan 2008 tarihinde dava dosyası, Larnaka polis soruşturma dairesi tarafından yukarıda belirtilen öneri ile birlikte Başsavcıya gönderilmiştir. Başsavcı, Larnaka polis soruşturma dairesinin önerisi</w:t>
      </w:r>
      <w:r w:rsidR="00717071">
        <w:t>ni</w:t>
      </w:r>
      <w:r w:rsidR="00F25813">
        <w:t xml:space="preserve"> </w:t>
      </w:r>
      <w:r w:rsidR="00717071">
        <w:t>kabul etmiş</w:t>
      </w:r>
      <w:r w:rsidR="00F25813">
        <w:t xml:space="preserve"> ve 24 Nisan 2008 tarihinde polisten, şüphelilerin hepsinin veya herhangi birinin tutuklanması gerçekleşirse ve gerçekleşince soruşturma dosyasını yeniden </w:t>
      </w:r>
      <w:r w:rsidR="001E4E7C" w:rsidRPr="007C6A77">
        <w:sym w:font="Symbol" w:char="F02D"/>
      </w:r>
      <w:r w:rsidR="00F25813">
        <w:t>göndermesini (</w:t>
      </w:r>
      <w:r w:rsidR="00F25813">
        <w:rPr>
          <w:i/>
        </w:rPr>
        <w:t>εναποβληθεί</w:t>
      </w:r>
      <w:r w:rsidR="00F25813">
        <w:t>) istemiştir.</w:t>
      </w:r>
    </w:p>
    <w:bookmarkStart w:id="17" w:name="Cypinquest"/>
    <w:p w:rsidR="00F25813" w:rsidRPr="007C6A77" w:rsidRDefault="00BB2D2A" w:rsidP="00F25813">
      <w:pPr>
        <w:pStyle w:val="ECHRPara"/>
        <w:rPr>
          <w:color w:val="1F497D"/>
        </w:rPr>
      </w:pPr>
      <w:r w:rsidRPr="007C6A77">
        <w:fldChar w:fldCharType="begin"/>
      </w:r>
      <w:r w:rsidR="00F25813" w:rsidRPr="007C6A77">
        <w:instrText xml:space="preserve"> SEQ level0 \*arabic </w:instrText>
      </w:r>
      <w:r w:rsidRPr="007C6A77">
        <w:fldChar w:fldCharType="separate"/>
      </w:r>
      <w:r w:rsidR="00332D11">
        <w:rPr>
          <w:noProof/>
        </w:rPr>
        <w:t>54</w:t>
      </w:r>
      <w:r w:rsidRPr="007C6A77">
        <w:fldChar w:fldCharType="end"/>
      </w:r>
      <w:r w:rsidR="00F25813">
        <w:t>.  </w:t>
      </w:r>
      <w:bookmarkEnd w:id="17"/>
      <w:r w:rsidR="00F25813">
        <w:t>25 Haziran 2008 tarihinde Komisere gönderilen bir mektupta Başsavcı, yetkililerin tüm çabalarına rağmen şüphelilerin Kıbrıs Cumhuriyeti'ne teslim edilmediğini, Kıbrıs Cumhurbaşkanı ile konuştuğunu belirtmiş ve başvuranın avukatıyla tekrar tekrar görüştüğünü ve telefon görüşmeleri yaptığını söylemiştir. Başsavcı, başvuranların Mahkemeye başvur</w:t>
      </w:r>
      <w:r w:rsidR="00D904FC">
        <w:t>uda bulunma</w:t>
      </w:r>
      <w:r w:rsidR="00F25813">
        <w:t xml:space="preserve"> niyetinde oldukların</w:t>
      </w:r>
      <w:r w:rsidR="00A80F70">
        <w:t xml:space="preserve">a ilişkin avukat tarafından </w:t>
      </w:r>
      <w:r w:rsidR="007D2715">
        <w:t xml:space="preserve">kendisine </w:t>
      </w:r>
      <w:r w:rsidR="00A80F70">
        <w:t>malumat verildiğini</w:t>
      </w:r>
      <w:r w:rsidR="00F25813">
        <w:t xml:space="preserve"> belirtmiştir. Başsavcı, bu nedenle, uluslararası tutuklama müzekkerelerinin şüphelilere yönelik olarak çıkarılması gerektiğini ve Mahkeme kararlarına göre işgal altındaki bölgelerde meydana gelen her olayla ilgili sorumluluğu olan Türkiye’nin bu müzekkereleri uygulamasının talep edilmesi gerektiğini düşünmüştür. Danışman da bu fikirde mutabık kalmıştır. Başsavcı, eğer bu yapılmadıysa, şüphelilerin Kıbrıs Cumhuriyeti'ne teslim olması için (</w:t>
      </w:r>
      <w:r w:rsidR="00F25813">
        <w:rPr>
          <w:i/>
        </w:rPr>
        <w:t>Παράδοση</w:t>
      </w:r>
      <w:r w:rsidR="00F25813">
        <w:t>)</w:t>
      </w:r>
      <w:r w:rsidR="00F25813">
        <w:rPr>
          <w:color w:val="1F497D"/>
        </w:rPr>
        <w:t xml:space="preserve"> </w:t>
      </w:r>
      <w:r w:rsidR="00F25813">
        <w:t>uluslararası tutuklama müzekkeresinin olabildiğince hızlı bir şekilde çıkarılmasını talep etmiştir.</w:t>
      </w:r>
    </w:p>
    <w:bookmarkStart w:id="18" w:name="fourthsuspectmurder"/>
    <w:p w:rsidR="00F25813"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55</w:t>
      </w:r>
      <w:r w:rsidRPr="007C6A77">
        <w:fldChar w:fldCharType="end"/>
      </w:r>
      <w:bookmarkEnd w:id="18"/>
      <w:r w:rsidR="00F25813">
        <w:t xml:space="preserve">.  3 Ağustos 2008 tarihinde dördüncü şüpheli </w:t>
      </w:r>
      <w:r w:rsidR="008B4471">
        <w:t>“KKTC”</w:t>
      </w:r>
      <w:r w:rsidR="00F25813">
        <w:t xml:space="preserve"> de öldürülmüştür. Ölümünün </w:t>
      </w:r>
      <w:r w:rsidR="00E562AE">
        <w:t>BMBG</w:t>
      </w:r>
      <w:r w:rsidR="00F25813">
        <w:t xml:space="preserve"> tarafından teyit edilmesi üzerine ve Başsavcı tarafından verilen talimatlar uyarınca bu şüpheli hakkındaki tutuklama müzekkeresi Larnaka Bölge Mahkemesi tarafından 29 Ağustos 2008 tarihinde iptal edilmiştir.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56</w:t>
      </w:r>
      <w:r w:rsidRPr="007C6A77">
        <w:fldChar w:fldCharType="end"/>
      </w:r>
      <w:r w:rsidR="00F25813">
        <w:t>.  6 Ağustos 2008 tarihinde Başsavcı, her iki Devletin de taraf olduğu</w:t>
      </w:r>
      <w:r w:rsidR="00F25813">
        <w:rPr>
          <w:rStyle w:val="BalonMetniChar"/>
        </w:rPr>
        <w:t xml:space="preserve"> </w:t>
      </w:r>
      <w:r w:rsidR="00F25813">
        <w:t>13 Aralık 1957 tarihli Suçluların İadesine dair Avrupa Sözleşmesi uyarınca Türkiye'ye iade taleplerinin hazırlanması talimatında bulunmuştur (bk. aşağıdaki 144-45. paragraflar).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57</w:t>
      </w:r>
      <w:r w:rsidRPr="007C6A77">
        <w:fldChar w:fldCharType="end"/>
      </w:r>
      <w:r w:rsidR="00F25813">
        <w:t xml:space="preserve">.  23 Eylül 2008 tarihinde kalan altı şüpheli hakkında iade talepleri (birinci, ikinci, üçüncü, beşinci, altıncı ve yedinci şüpheliler; bk. yukarıdaki </w:t>
      </w:r>
      <w:r w:rsidR="0065039F">
        <w:fldChar w:fldCharType="begin"/>
      </w:r>
      <w:r w:rsidR="0065039F">
        <w:instrText xml:space="preserve"> REF suspect8 \h  \* MERGEFORMAT </w:instrText>
      </w:r>
      <w:r w:rsidR="0065039F">
        <w:fldChar w:fldCharType="separate"/>
      </w:r>
      <w:r w:rsidR="00332D11">
        <w:t>49</w:t>
      </w:r>
      <w:r w:rsidR="0065039F">
        <w:fldChar w:fldCharType="end"/>
      </w:r>
      <w:r w:rsidR="00F25813">
        <w:t xml:space="preserve">. ve </w:t>
      </w:r>
      <w:r w:rsidR="0065039F">
        <w:fldChar w:fldCharType="begin"/>
      </w:r>
      <w:r w:rsidR="0065039F">
        <w:instrText xml:space="preserve"> REF fourthsuspectmurder \h  \* MERGEFORMAT </w:instrText>
      </w:r>
      <w:r w:rsidR="0065039F">
        <w:fldChar w:fldCharType="separate"/>
      </w:r>
      <w:r w:rsidR="00332D11">
        <w:t>55</w:t>
      </w:r>
      <w:r w:rsidR="0065039F">
        <w:fldChar w:fldCharType="end"/>
      </w:r>
      <w:r w:rsidR="00F25813">
        <w:t>. paragraflar) ve tüm belgelerin Türkçeye tasdikli çevirileri Kıbrıs Adalet ve Kamu Düzeni Bakanlığı tarafından T.C. Adalet Bakanlığına diplomatik yollarla bildirilmek üzere Kıbrıs Cumhuriyeti Dışişleri Bakanlığına gönderilmiştir. Ardından talepler, Türkiye’ye bildirilmek üzere Kıbrıs Cumhuriyeti’nin Atina'daki Büyükelçiliğine gönderilmiştir.</w:t>
      </w:r>
    </w:p>
    <w:bookmarkStart w:id="19" w:name="CypExtreq1"/>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58</w:t>
      </w:r>
      <w:r w:rsidRPr="007C6A77">
        <w:fldChar w:fldCharType="end"/>
      </w:r>
      <w:bookmarkEnd w:id="19"/>
      <w:r w:rsidR="00F25813">
        <w:t xml:space="preserve">.  4 Kasım 2008 tarihli bir mektupla Atina'daki Kıbrıs Cumhuriyeti Büyükelçiliği, Kıbrıs Dışişleri Bakanlığı Genel Müdürüne, bu tarihte Kıbrıs Adalet ve Kamu Düzeni Bakanlığı tarafından yapılan iade taleplerinin ve yazılan </w:t>
      </w:r>
      <w:r w:rsidR="00F25813">
        <w:rPr>
          <w:i/>
        </w:rPr>
        <w:t>notanın</w:t>
      </w:r>
      <w:r w:rsidR="00F25813">
        <w:t xml:space="preserve"> Atina'daki Türk Büyükelçiliğine mühürlü bir zarf içinde teslim edildiğini bildirmiştir. Büyükelçilik görevlisi zarfı Büyükelçiliğin güvenlik görevlisine teslim etmiştir. Teslimat makbuzu verilmemiştir.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59</w:t>
      </w:r>
      <w:r w:rsidRPr="007C6A77">
        <w:fldChar w:fldCharType="end"/>
      </w:r>
      <w:r w:rsidR="00F25813">
        <w:t xml:space="preserve">.  11 Kasım 2008 tarihli bir mektupla Atina'daki Kıbrıs Cumhuriyeti Büyükelçiliği, Kıbrıs Dışişleri Bakanlığı Genel Müdürüne, bu tarihte Türk Büyükelçiliğinin bir çalışanının Kıbrıs Büyükelçiliğinin güvenlik görevlisine üzerinde sadece Kıbrıs Büyükelçiliğinin adresinin yazılmış olduğu ve yapılan iade taleplerini ve 4 Kasım 2008 tarihinde Kıbrıs Adalet ve Kamu Düzeni Bakanlığı tarafından Türk Büyükelçiliğine gönderilen </w:t>
      </w:r>
      <w:r w:rsidR="00F25813">
        <w:rPr>
          <w:i/>
        </w:rPr>
        <w:t>notayı</w:t>
      </w:r>
      <w:r w:rsidR="00F25813">
        <w:t xml:space="preserve"> içeren bir zarf bırakmış olduğunu bildirmiştir. Bu kişi kimliğini belirtmemiş, sadece zarfı bırakmış (</w:t>
      </w:r>
      <w:r w:rsidR="00F25813">
        <w:rPr>
          <w:i/>
        </w:rPr>
        <w:t>παράτησε</w:t>
      </w:r>
      <w:r w:rsidR="00F25813">
        <w:t>) ve aceleyle ayrılmıştır.</w:t>
      </w:r>
    </w:p>
    <w:bookmarkStart w:id="20" w:name="CypExtreq3"/>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60</w:t>
      </w:r>
      <w:r w:rsidRPr="007C6A77">
        <w:fldChar w:fldCharType="end"/>
      </w:r>
      <w:bookmarkEnd w:id="20"/>
      <w:r w:rsidR="00F25813">
        <w:t>.  24 Kasım 2008 tarihli bir mektupla Kıbrıs Cumhuriyeti Adalet Bakanlığı Genel Müdürü, Başsavcı'ya yukarıda belirtilen tüm belgelerin geri gönderildiği konusunda bilgi vermiş ve Türkiye'nin Kıbrıs Cumhuriyeti'ni bir Devlet olarak tanımayı reddetmesi nedeniyle, Kıbrıs tarafından Suçluların İadesine dair Avrupa Sözleşmesi uyarınca yapılan iade taleplerini reddettiğinin ortada olduğunu belirtmiştir.</w:t>
      </w:r>
    </w:p>
    <w:p w:rsidR="00F25813" w:rsidRPr="007C6A77" w:rsidRDefault="00BB2D2A" w:rsidP="00F25813">
      <w:pPr>
        <w:pStyle w:val="ECHRPara"/>
      </w:pPr>
      <w:r w:rsidRPr="007C6A77">
        <w:rPr>
          <w:rFonts w:cstheme="minorHAnsi"/>
        </w:rPr>
        <w:fldChar w:fldCharType="begin"/>
      </w:r>
      <w:r w:rsidR="00F25813" w:rsidRPr="007C6A77">
        <w:rPr>
          <w:rFonts w:cstheme="minorHAnsi"/>
        </w:rPr>
        <w:instrText xml:space="preserve"> SEQ level0 \*arabic </w:instrText>
      </w:r>
      <w:r w:rsidRPr="007C6A77">
        <w:rPr>
          <w:rFonts w:cstheme="minorHAnsi"/>
        </w:rPr>
        <w:fldChar w:fldCharType="separate"/>
      </w:r>
      <w:r w:rsidR="00332D11">
        <w:rPr>
          <w:rFonts w:cstheme="minorHAnsi"/>
          <w:noProof/>
        </w:rPr>
        <w:t>61</w:t>
      </w:r>
      <w:r w:rsidRPr="007C6A77">
        <w:rPr>
          <w:rFonts w:cstheme="minorHAnsi"/>
        </w:rPr>
        <w:fldChar w:fldCharType="end"/>
      </w:r>
      <w:r w:rsidR="00F25813">
        <w:t>.  26 Kasım 2008 tarihli cevabında, Başsavcı, Türkiye Cumhuriyeti'nin Kıbrıs Cumhuriyeti'ne karşı tutumunun Suçluların İadesine dair Avrupa Sözleşmesi’ni imzalamış bir Devletten beklenen bir tutum olmadığını belirtmiştir. Ancak, alınacak tedbirler konusunda Başsavcılık tarafından karar alınması gerekmemekle birlikte, bu bilhassa Kıbrıs Dışişleri Bakanlığı tarafından siyasi düzeyde ele alınması gereken bir konu niteliğindeydi.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62</w:t>
      </w:r>
      <w:r w:rsidRPr="007C6A77">
        <w:fldChar w:fldCharType="end"/>
      </w:r>
      <w:r w:rsidR="00F25813">
        <w:t>.  Kıbrıs Hükümeti, kendi yönetimindeki bölgede tutuklama müzekkerelerinin halen yürürlükte olduğunu ve Ceza Muhakemesi Kanunu'nun 21 (1)</w:t>
      </w:r>
      <w:r w:rsidR="002409D2">
        <w:t xml:space="preserve">. Maddesi </w:t>
      </w:r>
      <w:r w:rsidR="00F25813">
        <w:t>uyarınca uygulanana kadar yürürlükte kalacağını belirtmiştir.</w:t>
      </w:r>
    </w:p>
    <w:p w:rsidR="00F25813" w:rsidRPr="007C6A77" w:rsidRDefault="00F25813" w:rsidP="00F25813">
      <w:pPr>
        <w:pStyle w:val="ECHRHeading2"/>
      </w:pPr>
      <w:r>
        <w:t>C.</w:t>
      </w:r>
      <w:r>
        <w:tab/>
      </w:r>
      <w:r w:rsidR="008B4471">
        <w:t>“KKTC”</w:t>
      </w:r>
      <w:r>
        <w:t xml:space="preserve"> makamları </w:t>
      </w:r>
      <w:r w:rsidR="007F3C38">
        <w:t>dâhil</w:t>
      </w:r>
      <w:r>
        <w:t xml:space="preserve"> olmak üzere Türk makamları tarafından yürütülen soruşturmalar ve alınan tedbirler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63</w:t>
      </w:r>
      <w:r w:rsidRPr="007C6A77">
        <w:rPr>
          <w:rFonts w:ascii="Times New Roman" w:hAnsi="Times New Roman" w:cs="Times New Roman"/>
          <w:szCs w:val="24"/>
        </w:rPr>
        <w:fldChar w:fldCharType="end"/>
      </w:r>
      <w:r w:rsidR="00F25813">
        <w:t>.</w:t>
      </w:r>
      <w:r w:rsidR="00F25813">
        <w:rPr>
          <w:rFonts w:ascii="Times New Roman" w:hAnsi="Times New Roman"/>
        </w:rPr>
        <w:t>  </w:t>
      </w:r>
      <w:r w:rsidR="00F25813">
        <w:t xml:space="preserve">17 Ocak 2005 tarihinde, maktullerin cesetleri Lefkoşa'daki Dr. Burhan Nalbantoğlu Devlet Hastanesine </w:t>
      </w:r>
      <w:r w:rsidR="001E4E7C" w:rsidRPr="007C6A77">
        <w:rPr>
          <w:rFonts w:ascii="Times New Roman" w:hAnsi="Times New Roman" w:cs="Times New Roman"/>
          <w:szCs w:val="24"/>
        </w:rPr>
        <w:sym w:font="Symbol" w:char="F02D"/>
      </w:r>
      <w:r w:rsidR="00F25813">
        <w:t>otopsi incelemesi için gönderilmiştir.</w:t>
      </w:r>
      <w:r w:rsidR="00F25813">
        <w:rPr>
          <w:rFonts w:ascii="Times New Roman" w:hAnsi="Times New Roman"/>
        </w:rPr>
        <w:t xml:space="preserve"> </w:t>
      </w:r>
      <w:r w:rsidR="008B4471">
        <w:rPr>
          <w:rFonts w:ascii="Times New Roman" w:hAnsi="Times New Roman"/>
        </w:rPr>
        <w:t>“KKTC”</w:t>
      </w:r>
      <w:r w:rsidR="00F25813">
        <w:rPr>
          <w:rFonts w:ascii="Times New Roman" w:hAnsi="Times New Roman"/>
        </w:rPr>
        <w:t xml:space="preserve"> polisine Kıbrıs Cumhuriyeti tarafından </w:t>
      </w:r>
      <w:r w:rsidR="00DF7772">
        <w:rPr>
          <w:rFonts w:ascii="Times New Roman" w:hAnsi="Times New Roman"/>
        </w:rPr>
        <w:t>çıkartılan</w:t>
      </w:r>
      <w:r w:rsidR="00F25813">
        <w:rPr>
          <w:rFonts w:ascii="Times New Roman" w:hAnsi="Times New Roman"/>
        </w:rPr>
        <w:t xml:space="preserve"> ölüm belgeleri verilmiştir.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64</w:t>
      </w:r>
      <w:r w:rsidRPr="007C6A77">
        <w:rPr>
          <w:rFonts w:ascii="Times New Roman" w:hAnsi="Times New Roman" w:cs="Times New Roman"/>
          <w:szCs w:val="24"/>
        </w:rPr>
        <w:fldChar w:fldCharType="end"/>
      </w:r>
      <w:r w:rsidR="00F25813">
        <w:t>.</w:t>
      </w:r>
      <w:r w:rsidR="00F25813">
        <w:rPr>
          <w:rFonts w:ascii="Times New Roman" w:hAnsi="Times New Roman"/>
        </w:rPr>
        <w:t xml:space="preserve">  Ölüm nedeninin bir adli tabip incelemesini gerektirdiği göz önüne alındığında, </w:t>
      </w:r>
      <w:r w:rsidR="008B4471">
        <w:rPr>
          <w:rFonts w:ascii="Times New Roman" w:hAnsi="Times New Roman"/>
        </w:rPr>
        <w:t>“KKTC”</w:t>
      </w:r>
      <w:r w:rsidR="00F25813">
        <w:rPr>
          <w:rFonts w:ascii="Times New Roman" w:hAnsi="Times New Roman"/>
        </w:rPr>
        <w:t xml:space="preserve"> polisi otopsi için mahkeme kararı istemiştir.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65</w:t>
      </w:r>
      <w:r w:rsidRPr="007C6A77">
        <w:rPr>
          <w:rFonts w:ascii="Times New Roman" w:hAnsi="Times New Roman" w:cs="Times New Roman"/>
          <w:szCs w:val="24"/>
        </w:rPr>
        <w:fldChar w:fldCharType="end"/>
      </w:r>
      <w:r w:rsidR="00F25813">
        <w:t>.</w:t>
      </w:r>
      <w:r w:rsidR="00F25813">
        <w:rPr>
          <w:rFonts w:ascii="Times New Roman" w:hAnsi="Times New Roman"/>
        </w:rPr>
        <w:t>  </w:t>
      </w:r>
      <w:r w:rsidR="008B4471">
        <w:rPr>
          <w:rFonts w:ascii="Times New Roman" w:hAnsi="Times New Roman"/>
        </w:rPr>
        <w:t>”KKTC”</w:t>
      </w:r>
      <w:r w:rsidR="00F25813">
        <w:rPr>
          <w:rFonts w:ascii="Times New Roman" w:hAnsi="Times New Roman"/>
        </w:rPr>
        <w:t xml:space="preserve"> Lefkoşa Bölge Mahkemesinde yapılan duruşmanın ardından, </w:t>
      </w:r>
      <w:r w:rsidR="008B4471">
        <w:rPr>
          <w:rFonts w:ascii="Times New Roman" w:hAnsi="Times New Roman"/>
        </w:rPr>
        <w:t>“KKTC”</w:t>
      </w:r>
      <w:r w:rsidR="00F25813">
        <w:rPr>
          <w:rFonts w:ascii="Times New Roman" w:hAnsi="Times New Roman"/>
        </w:rPr>
        <w:t xml:space="preserve"> Başsavcılığı, otopsi incelemeleri Kıbrıs Cumhuriyeti’nde daha önceden yapıldığı için mahkemeden otopsi gerekliliğini kaldırmasını talep etmiştir. İki polis memuru ve hastanenin adli tıp uzmanının ifadesini alan Mahkeme, otopsinin gerekli olmadığına karar vermiştir.</w:t>
      </w:r>
    </w:p>
    <w:bookmarkStart w:id="21" w:name="TRNCfirstappstmt"/>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66</w:t>
      </w:r>
      <w:r w:rsidRPr="007C6A77">
        <w:rPr>
          <w:rFonts w:ascii="Times New Roman" w:hAnsi="Times New Roman" w:cs="Times New Roman"/>
          <w:szCs w:val="24"/>
        </w:rPr>
        <w:fldChar w:fldCharType="end"/>
      </w:r>
      <w:bookmarkEnd w:id="21"/>
      <w:r w:rsidR="00F25813">
        <w:rPr>
          <w:rFonts w:ascii="Times New Roman" w:hAnsi="Times New Roman"/>
        </w:rPr>
        <w:t xml:space="preserve">.  18 Ocak 2005 tarihinde ilk başvuran </w:t>
      </w:r>
      <w:r w:rsidR="008B4471">
        <w:rPr>
          <w:rFonts w:ascii="Times New Roman" w:hAnsi="Times New Roman"/>
        </w:rPr>
        <w:t>“KKTC”</w:t>
      </w:r>
      <w:r w:rsidR="00F25813">
        <w:rPr>
          <w:rFonts w:ascii="Times New Roman" w:hAnsi="Times New Roman"/>
        </w:rPr>
        <w:t xml:space="preserve"> polisine ifade vermiştir. Muhtemel şüphelilere dair görüşleri talep edilmiştir. İfadesinde, olası beş şüphelini</w:t>
      </w:r>
      <w:r w:rsidR="00E562AE">
        <w:rPr>
          <w:rFonts w:ascii="Times New Roman" w:hAnsi="Times New Roman"/>
        </w:rPr>
        <w:t>n bulunduğunu öne sürmüştür. M.C.</w:t>
      </w:r>
      <w:r w:rsidR="00F25813">
        <w:rPr>
          <w:rFonts w:ascii="Times New Roman" w:hAnsi="Times New Roman"/>
        </w:rPr>
        <w:t xml:space="preserve">, E.F., F.M., M.M. ve H.O. (bk. yukarıdaki </w:t>
      </w:r>
      <w:r w:rsidR="0065039F">
        <w:fldChar w:fldCharType="begin"/>
      </w:r>
      <w:r w:rsidR="0065039F">
        <w:instrText xml:space="preserve"> REF Suspects5 \h  \* MERGEFORMAT </w:instrText>
      </w:r>
      <w:r w:rsidR="0065039F">
        <w:fldChar w:fldCharType="separate"/>
      </w:r>
      <w:r w:rsidR="00332D11">
        <w:t>31</w:t>
      </w:r>
      <w:r w:rsidR="0065039F">
        <w:fldChar w:fldCharType="end"/>
      </w:r>
      <w:r w:rsidR="00F25813">
        <w:rPr>
          <w:rFonts w:ascii="Times New Roman" w:hAnsi="Times New Roman"/>
        </w:rPr>
        <w:t xml:space="preserve">  paragraf). </w:t>
      </w:r>
      <w:r w:rsidR="008B4471">
        <w:rPr>
          <w:rFonts w:ascii="Times New Roman" w:hAnsi="Times New Roman"/>
        </w:rPr>
        <w:t>“KKTC”</w:t>
      </w:r>
      <w:r w:rsidR="00F25813">
        <w:rPr>
          <w:rFonts w:ascii="Times New Roman" w:hAnsi="Times New Roman"/>
        </w:rPr>
        <w:t xml:space="preserve"> makamları şüphelilerin giriş ve çıkış kayıtlarını kontrol etmiş ve cinayet gecesi ilk şüphelinin Kıbrıs Cumhuriyeti tarafına geçtiğini ve sabahın erken saatlerinde </w:t>
      </w:r>
      <w:r w:rsidR="008B4471">
        <w:rPr>
          <w:rFonts w:ascii="Times New Roman" w:hAnsi="Times New Roman"/>
        </w:rPr>
        <w:t>“KKTC”</w:t>
      </w:r>
      <w:r w:rsidR="00F25813">
        <w:rPr>
          <w:rFonts w:ascii="Times New Roman" w:hAnsi="Times New Roman"/>
        </w:rPr>
        <w:t>ye döndüğünü tespit etmiştir. O gün diğer şüphelilerin girişi ve çıkışına dair bir paket bulunmamaktadır.</w:t>
      </w:r>
    </w:p>
    <w:bookmarkStart w:id="22" w:name="TRNCfacts1"/>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67</w:t>
      </w:r>
      <w:r w:rsidRPr="007C6A77">
        <w:rPr>
          <w:rFonts w:ascii="Times New Roman" w:hAnsi="Times New Roman" w:cs="Times New Roman"/>
          <w:szCs w:val="24"/>
        </w:rPr>
        <w:fldChar w:fldCharType="end"/>
      </w:r>
      <w:bookmarkEnd w:id="22"/>
      <w:r w:rsidR="00F25813">
        <w:rPr>
          <w:rFonts w:ascii="Times New Roman" w:hAnsi="Times New Roman"/>
        </w:rPr>
        <w:t xml:space="preserve">.  18 Ocak 2005 tarihinde, ilk şüpheli </w:t>
      </w:r>
      <w:r w:rsidR="008B4471">
        <w:rPr>
          <w:rFonts w:ascii="Times New Roman" w:hAnsi="Times New Roman"/>
        </w:rPr>
        <w:t>“KKTC”</w:t>
      </w:r>
      <w:r w:rsidR="00F25813">
        <w:rPr>
          <w:rFonts w:ascii="Times New Roman" w:hAnsi="Times New Roman"/>
        </w:rPr>
        <w:t xml:space="preserve"> polisi tarafından sorgulanmak üzere Girne Polis Genel Müdürlüğüne götürülmüştür. Sınırı geçmek için kullandığı BMW otomobili delil olarak tutulmuştur. Girne Bölge Mahkemesi, hem birinci hem de ikinci şüpheliyi hırsızlık, araç ithalatı ve evrak sahteciliği şüphesiyle mahkemeye getirmek için aynı gün celp çıkartmıştır. İlk şüpheli </w:t>
      </w:r>
      <w:r w:rsidR="008A4EE0">
        <w:rPr>
          <w:rFonts w:ascii="Times New Roman" w:hAnsi="Times New Roman"/>
        </w:rPr>
        <w:t>tutuklu kalmıştır</w:t>
      </w:r>
      <w:r w:rsidR="00F25813">
        <w:rPr>
          <w:rFonts w:ascii="Times New Roman" w:hAnsi="Times New Roman"/>
        </w:rPr>
        <w:t>.</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68</w:t>
      </w:r>
      <w:r w:rsidRPr="007C6A77">
        <w:rPr>
          <w:rFonts w:ascii="Times New Roman" w:hAnsi="Times New Roman" w:cs="Times New Roman"/>
          <w:szCs w:val="24"/>
        </w:rPr>
        <w:fldChar w:fldCharType="end"/>
      </w:r>
      <w:r w:rsidR="00F25813">
        <w:t>.</w:t>
      </w:r>
      <w:r w:rsidR="00F25813">
        <w:rPr>
          <w:rFonts w:ascii="Times New Roman" w:hAnsi="Times New Roman"/>
        </w:rPr>
        <w:t>  İlk şüphelinin BMW otomobili incelenmiş, ancak hiçbir delil bulunamamıştır.</w:t>
      </w:r>
    </w:p>
    <w:bookmarkStart w:id="23" w:name="firstcharges"/>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69</w:t>
      </w:r>
      <w:r w:rsidRPr="007C6A77">
        <w:rPr>
          <w:rFonts w:ascii="Times New Roman" w:hAnsi="Times New Roman" w:cs="Times New Roman"/>
          <w:szCs w:val="24"/>
        </w:rPr>
        <w:fldChar w:fldCharType="end"/>
      </w:r>
      <w:bookmarkEnd w:id="23"/>
      <w:r w:rsidR="00F25813">
        <w:rPr>
          <w:rFonts w:ascii="Times New Roman" w:hAnsi="Times New Roman"/>
        </w:rPr>
        <w:t>.  Aynı gün (yani 18 Ocak 2005 tarihinde) üçüncü ve dördüncü şüpheli de polis tarafından sorgulanmak üzere yakalanmıştır. Aynı gün Güzelyurt Bölge Mahkemesi tarafından üçüncü ve dördüncü şüpheli için özellikle yalan belge ve beyanlarla sahte kayıtla araç temin etme olmak üzere sahte belge düzenleme şüphesiyle tutuklama müzekkeresi çıkarılmıştır.</w:t>
      </w:r>
    </w:p>
    <w:bookmarkStart w:id="24" w:name="firstcharges2"/>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70</w:t>
      </w:r>
      <w:r w:rsidRPr="007C6A77">
        <w:rPr>
          <w:rFonts w:ascii="Times New Roman" w:hAnsi="Times New Roman" w:cs="Times New Roman"/>
          <w:szCs w:val="24"/>
        </w:rPr>
        <w:fldChar w:fldCharType="end"/>
      </w:r>
      <w:bookmarkEnd w:id="24"/>
      <w:r w:rsidR="00F25813">
        <w:rPr>
          <w:rFonts w:ascii="Times New Roman" w:hAnsi="Times New Roman"/>
        </w:rPr>
        <w:t>.  19 Ocak 2005 tarihinde, Girne Bölge Mahkemesi tarafından, birinci ve ikinci şüpheli hakkında Hırsızlık, Sahte Belge Düzenleme ve Sahte Kayıt Temin Etme vb.  şüphesiyle 2 günlük tutuklama müzekkeresi çıkarılmıştır.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71</w:t>
      </w:r>
      <w:r w:rsidRPr="007C6A77">
        <w:rPr>
          <w:rFonts w:ascii="Times New Roman" w:hAnsi="Times New Roman" w:cs="Times New Roman"/>
          <w:szCs w:val="24"/>
        </w:rPr>
        <w:fldChar w:fldCharType="end"/>
      </w:r>
      <w:r w:rsidR="00F25813">
        <w:t>.</w:t>
      </w:r>
      <w:r w:rsidR="00F25813">
        <w:rPr>
          <w:rFonts w:ascii="Times New Roman" w:hAnsi="Times New Roman"/>
        </w:rPr>
        <w:t>  İkinci şüpheli ertesi gün tutuklanmış ve Lapta Polis Müdürlüğünde tutuklanmıştır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72</w:t>
      </w:r>
      <w:r w:rsidRPr="007C6A77">
        <w:rPr>
          <w:rFonts w:ascii="Times New Roman" w:hAnsi="Times New Roman" w:cs="Times New Roman"/>
          <w:szCs w:val="24"/>
        </w:rPr>
        <w:fldChar w:fldCharType="end"/>
      </w:r>
      <w:r w:rsidR="00F25813">
        <w:t>.</w:t>
      </w:r>
      <w:r w:rsidR="00F25813">
        <w:rPr>
          <w:rFonts w:ascii="Times New Roman" w:hAnsi="Times New Roman"/>
        </w:rPr>
        <w:t xml:space="preserve">  19 Ocak 2005 tarihinde, </w:t>
      </w:r>
      <w:r w:rsidR="008B4471">
        <w:rPr>
          <w:rFonts w:ascii="Times New Roman" w:hAnsi="Times New Roman"/>
        </w:rPr>
        <w:t>“KKTC”</w:t>
      </w:r>
      <w:r w:rsidR="00F25813">
        <w:rPr>
          <w:rFonts w:ascii="Times New Roman" w:hAnsi="Times New Roman"/>
        </w:rPr>
        <w:t xml:space="preserve"> Lefkoşa Bölge Mahkemesi, üçüncü ve dördüncü şüpheliyi de hırsızlık ve evrak sahteciliği şüphesiyle iki günlüğüne gözaltına almıştır.</w:t>
      </w:r>
    </w:p>
    <w:bookmarkStart w:id="25" w:name="searchhouse1"/>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73</w:t>
      </w:r>
      <w:r w:rsidRPr="007C6A77">
        <w:rPr>
          <w:rFonts w:ascii="Times New Roman" w:hAnsi="Times New Roman" w:cs="Times New Roman"/>
          <w:szCs w:val="24"/>
        </w:rPr>
        <w:fldChar w:fldCharType="end"/>
      </w:r>
      <w:bookmarkEnd w:id="25"/>
      <w:r w:rsidR="00F25813">
        <w:rPr>
          <w:rFonts w:ascii="Times New Roman" w:hAnsi="Times New Roman"/>
        </w:rPr>
        <w:t>.  </w:t>
      </w:r>
      <w:r w:rsidR="008B4471">
        <w:rPr>
          <w:rFonts w:ascii="Times New Roman" w:hAnsi="Times New Roman"/>
        </w:rPr>
        <w:t>”KKTC”</w:t>
      </w:r>
      <w:r w:rsidR="00F25813">
        <w:rPr>
          <w:rFonts w:ascii="Times New Roman" w:hAnsi="Times New Roman"/>
        </w:rPr>
        <w:t xml:space="preserve"> polisi, Güzelyurt Bölge Mahkemesi’nin (üçüncü ve dördüncü şüphelilere yönelik) 18 Ocak 2005 tarihinde çıkardığı ve Girne Bölge Mahkemesi’nin (birinci ve ikinci şüphelilere yönelik) 19 Ocak 2005 tarihinde çıkardığı arama emirlerine dayanarak ilk dört şüphelinin ve bir başka kişinin evini aramıştır. Hiçbir delil bulunamamıştır.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74</w:t>
      </w:r>
      <w:r w:rsidRPr="007C6A77">
        <w:rPr>
          <w:rFonts w:ascii="Times New Roman" w:hAnsi="Times New Roman" w:cs="Times New Roman"/>
          <w:szCs w:val="24"/>
        </w:rPr>
        <w:fldChar w:fldCharType="end"/>
      </w:r>
      <w:r w:rsidR="00F25813">
        <w:t>.</w:t>
      </w:r>
      <w:r w:rsidR="00F25813">
        <w:rPr>
          <w:rFonts w:ascii="Times New Roman" w:hAnsi="Times New Roman"/>
        </w:rPr>
        <w:t>  Dört şüpheli</w:t>
      </w:r>
      <w:r w:rsidR="00050C84">
        <w:rPr>
          <w:rFonts w:ascii="Times New Roman" w:hAnsi="Times New Roman"/>
        </w:rPr>
        <w:t>nin</w:t>
      </w:r>
      <w:r w:rsidR="00F25813">
        <w:rPr>
          <w:rFonts w:ascii="Times New Roman" w:hAnsi="Times New Roman"/>
        </w:rPr>
        <w:t xml:space="preserve"> tutukluluk halindeyken ifadeleri alınmıştır. Hepsi cinayetlerle bağlantılı olduklarını reddetmiştir. </w:t>
      </w:r>
      <w:r w:rsidR="008B4471">
        <w:rPr>
          <w:rFonts w:ascii="Times New Roman" w:hAnsi="Times New Roman"/>
        </w:rPr>
        <w:t>“KKTC”</w:t>
      </w:r>
      <w:r w:rsidR="00F25813">
        <w:rPr>
          <w:rFonts w:ascii="Times New Roman" w:hAnsi="Times New Roman"/>
        </w:rPr>
        <w:t xml:space="preserve"> polisi ayrıca başta ilk başvuranın katiller tarafından kullanıldığını iddia ettiği gibi BMW otomobiliyle ilişkili olarak kamu görevlileri de </w:t>
      </w:r>
      <w:r w:rsidR="007F3C38">
        <w:rPr>
          <w:rFonts w:ascii="Times New Roman" w:hAnsi="Times New Roman"/>
        </w:rPr>
        <w:t>dâhil</w:t>
      </w:r>
      <w:r w:rsidR="00F25813">
        <w:rPr>
          <w:rFonts w:ascii="Times New Roman" w:hAnsi="Times New Roman"/>
        </w:rPr>
        <w:t xml:space="preserve"> olmak üzere pek çok başka kişiden de ifade almıştır. Toplanan delillere göre, BMW otomobili 17 Mayıs 2004 tarihinde birinci şüpheliye devredilmiştir.</w:t>
      </w:r>
    </w:p>
    <w:bookmarkStart w:id="26" w:name="premed"/>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75</w:t>
      </w:r>
      <w:r w:rsidRPr="007C6A77">
        <w:rPr>
          <w:rFonts w:ascii="Times New Roman" w:hAnsi="Times New Roman" w:cs="Times New Roman"/>
          <w:szCs w:val="24"/>
        </w:rPr>
        <w:fldChar w:fldCharType="end"/>
      </w:r>
      <w:bookmarkEnd w:id="26"/>
      <w:r w:rsidR="00F25813">
        <w:rPr>
          <w:rFonts w:ascii="Times New Roman" w:hAnsi="Times New Roman"/>
        </w:rPr>
        <w:t>.  </w:t>
      </w:r>
      <w:r w:rsidR="008B4471">
        <w:rPr>
          <w:rFonts w:ascii="Times New Roman" w:hAnsi="Times New Roman"/>
        </w:rPr>
        <w:t>”KKTC”</w:t>
      </w:r>
      <w:r w:rsidR="00F25813">
        <w:rPr>
          <w:rFonts w:ascii="Times New Roman" w:hAnsi="Times New Roman"/>
        </w:rPr>
        <w:t xml:space="preserve"> polisinin yaptığı başvuruyu müteakip, 21 Ocak 2005 tarihinde </w:t>
      </w:r>
      <w:r w:rsidR="008B4471">
        <w:rPr>
          <w:rFonts w:ascii="Times New Roman" w:hAnsi="Times New Roman"/>
        </w:rPr>
        <w:t>“KKTC”</w:t>
      </w:r>
      <w:r w:rsidR="00F25813">
        <w:rPr>
          <w:rFonts w:ascii="Times New Roman" w:hAnsi="Times New Roman"/>
        </w:rPr>
        <w:t xml:space="preserve"> Lefkoşa Bölge Mahkemesi ilk dört şüpheliyi taammüden adam öldürme şüphesiyle üç gün daha gözaltında tutmuştur.</w:t>
      </w:r>
    </w:p>
    <w:bookmarkStart w:id="27" w:name="TRNCWARRANT5"/>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76</w:t>
      </w:r>
      <w:r w:rsidRPr="007C6A77">
        <w:rPr>
          <w:rFonts w:ascii="Times New Roman" w:hAnsi="Times New Roman" w:cs="Times New Roman"/>
          <w:szCs w:val="24"/>
        </w:rPr>
        <w:fldChar w:fldCharType="end"/>
      </w:r>
      <w:bookmarkEnd w:id="27"/>
      <w:r w:rsidR="00F25813">
        <w:rPr>
          <w:rFonts w:ascii="Times New Roman" w:hAnsi="Times New Roman"/>
        </w:rPr>
        <w:t xml:space="preserve">.  22 Ocak 2005 tarihinde, </w:t>
      </w:r>
      <w:r w:rsidR="008B4471">
        <w:rPr>
          <w:rFonts w:ascii="Times New Roman" w:hAnsi="Times New Roman"/>
        </w:rPr>
        <w:t>“KKTC”</w:t>
      </w:r>
      <w:r w:rsidR="00F25813">
        <w:rPr>
          <w:rFonts w:ascii="Times New Roman" w:hAnsi="Times New Roman"/>
        </w:rPr>
        <w:t xml:space="preserve"> Lefkoşa Bölge Mahkemesi beşinci şüpheliyi taammüden adam öldürme şüphesiyle mahkemeye huzuruna getirmek için celp çıkartmıştır. </w:t>
      </w:r>
      <w:r w:rsidR="008B4471">
        <w:rPr>
          <w:rFonts w:ascii="Times New Roman" w:hAnsi="Times New Roman"/>
        </w:rPr>
        <w:t>“KKTC”</w:t>
      </w:r>
      <w:r w:rsidR="00F25813">
        <w:rPr>
          <w:rFonts w:ascii="Times New Roman" w:hAnsi="Times New Roman"/>
        </w:rPr>
        <w:t xml:space="preserve"> Lefkoşa Emniyet Genel Müdürlüğü diğer tüm emniyet şubelerine bu şüpheliyi aradıklarını ve tutuklama müzekkeresi çıkardıklarını bildirmiştir.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77</w:t>
      </w:r>
      <w:r w:rsidRPr="007C6A77">
        <w:rPr>
          <w:rFonts w:ascii="Times New Roman" w:hAnsi="Times New Roman" w:cs="Times New Roman"/>
          <w:szCs w:val="24"/>
        </w:rPr>
        <w:fldChar w:fldCharType="end"/>
      </w:r>
      <w:r w:rsidR="00F25813">
        <w:t>.</w:t>
      </w:r>
      <w:r w:rsidR="00F25813">
        <w:rPr>
          <w:rFonts w:ascii="Times New Roman" w:hAnsi="Times New Roman"/>
        </w:rPr>
        <w:t xml:space="preserve">  Farklı tarihlerde, beşinci şüpheli hakkında bilgi edinmek amacıyla, ilk başvuran da </w:t>
      </w:r>
      <w:r w:rsidR="007F3C38">
        <w:rPr>
          <w:rFonts w:ascii="Times New Roman" w:hAnsi="Times New Roman"/>
        </w:rPr>
        <w:t>dâhil</w:t>
      </w:r>
      <w:r w:rsidR="00F25813">
        <w:rPr>
          <w:rFonts w:ascii="Times New Roman" w:hAnsi="Times New Roman"/>
        </w:rPr>
        <w:t xml:space="preserve"> olmak üzere pek çok kişiden ifade alınmıştır.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78</w:t>
      </w:r>
      <w:r w:rsidRPr="007C6A77">
        <w:rPr>
          <w:rFonts w:ascii="Times New Roman" w:hAnsi="Times New Roman" w:cs="Times New Roman"/>
          <w:szCs w:val="24"/>
        </w:rPr>
        <w:fldChar w:fldCharType="end"/>
      </w:r>
      <w:r w:rsidR="00F25813">
        <w:t>.</w:t>
      </w:r>
      <w:r w:rsidR="00F25813">
        <w:rPr>
          <w:rFonts w:ascii="Times New Roman" w:hAnsi="Times New Roman"/>
        </w:rPr>
        <w:t>  23 Ocak 2005 tarihinde, beşinci şüpheli tutuklanmıştır.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79</w:t>
      </w:r>
      <w:r w:rsidRPr="007C6A77">
        <w:rPr>
          <w:rFonts w:ascii="Times New Roman" w:hAnsi="Times New Roman" w:cs="Times New Roman"/>
          <w:szCs w:val="24"/>
        </w:rPr>
        <w:fldChar w:fldCharType="end"/>
      </w:r>
      <w:r w:rsidR="00F25813">
        <w:t>.</w:t>
      </w:r>
      <w:r w:rsidR="00F25813">
        <w:rPr>
          <w:rFonts w:ascii="Times New Roman" w:hAnsi="Times New Roman"/>
        </w:rPr>
        <w:t xml:space="preserve">  24 Ocak 2005 tarihinde, ilk dört şüpheli, </w:t>
      </w:r>
      <w:r w:rsidR="008B4471">
        <w:rPr>
          <w:rFonts w:ascii="Times New Roman" w:hAnsi="Times New Roman"/>
        </w:rPr>
        <w:t>“KKTC”</w:t>
      </w:r>
      <w:r w:rsidR="00F25813">
        <w:rPr>
          <w:rFonts w:ascii="Times New Roman" w:hAnsi="Times New Roman"/>
        </w:rPr>
        <w:t xml:space="preserve"> Lefkoşa Bölge Mahkemesi tarafından taammüden adam öldürme, adam öldürme ve yasa dışı silah ile patlayıcı bulundurma şüphesiyle üç gün boyunca gözaltında tutulmuştur. Mahkeme, beşinci şüphelinin üç gün boyunca gözaltında tutulabilmesi için bir tutuklama müzekkeresi çıkarmıştır.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80</w:t>
      </w:r>
      <w:r w:rsidRPr="007C6A77">
        <w:rPr>
          <w:rFonts w:ascii="Times New Roman" w:hAnsi="Times New Roman" w:cs="Times New Roman"/>
          <w:szCs w:val="24"/>
        </w:rPr>
        <w:fldChar w:fldCharType="end"/>
      </w:r>
      <w:r w:rsidR="00F25813">
        <w:t>.</w:t>
      </w:r>
      <w:r w:rsidR="00F25813">
        <w:rPr>
          <w:rFonts w:ascii="Times New Roman" w:hAnsi="Times New Roman"/>
        </w:rPr>
        <w:t xml:space="preserve">  25 Ocak 2005 tarihinde, T.C. İçişleri Bakanlığı </w:t>
      </w:r>
      <w:r w:rsidR="008B4471">
        <w:rPr>
          <w:rFonts w:ascii="Times New Roman" w:hAnsi="Times New Roman"/>
        </w:rPr>
        <w:t>“KKTC”</w:t>
      </w:r>
      <w:r w:rsidR="00F25813">
        <w:rPr>
          <w:rFonts w:ascii="Times New Roman" w:hAnsi="Times New Roman"/>
        </w:rPr>
        <w:t xml:space="preserve"> Lefkoşa Emniyet Genel Müdürlüğüne ilk dört şüpheli ile ilgili olarak Interpol tarafından Kırmızı Bülten yayımlandığını bildirmiştir. İçişleri Bakanlığı, Türk makamları "KKTC'ye" iade etmek için kendisini aradığından, Elmas Güzelyurtlu'nun ölümünün teyit edilmesini talep etmiştir. Ayrıca, ilk dört şüphelinin, özellikle de Türk vatandaşlığına sahip olup olmadıklarına ilişkin uyruğu hakkında soru sormuştur.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81</w:t>
      </w:r>
      <w:r w:rsidRPr="007C6A77">
        <w:rPr>
          <w:rFonts w:ascii="Times New Roman" w:hAnsi="Times New Roman" w:cs="Times New Roman"/>
          <w:szCs w:val="24"/>
        </w:rPr>
        <w:fldChar w:fldCharType="end"/>
      </w:r>
      <w:r w:rsidR="00F25813">
        <w:t>.</w:t>
      </w:r>
      <w:r w:rsidR="00F25813">
        <w:rPr>
          <w:rFonts w:ascii="Times New Roman" w:hAnsi="Times New Roman"/>
        </w:rPr>
        <w:t xml:space="preserve">  27 Ocak 2005 tarihinde, birinci, ikinci, üçüncü, dördüncü ve beşinci şüpheli </w:t>
      </w:r>
      <w:r w:rsidR="008B4471">
        <w:rPr>
          <w:rFonts w:ascii="Times New Roman" w:hAnsi="Times New Roman"/>
        </w:rPr>
        <w:t>“KKTC”</w:t>
      </w:r>
      <w:r w:rsidR="00F25813">
        <w:rPr>
          <w:rFonts w:ascii="Times New Roman" w:hAnsi="Times New Roman"/>
        </w:rPr>
        <w:t xml:space="preserve"> Lefkoşa Emniyet Genel Müdürlüğü tarafından taammüden adam öldürme şüphesiyle beş gün daha gözaltında tutulmuşlardır.</w:t>
      </w:r>
    </w:p>
    <w:bookmarkStart w:id="28" w:name="searchhouse2"/>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82</w:t>
      </w:r>
      <w:r w:rsidRPr="007C6A77">
        <w:rPr>
          <w:rFonts w:ascii="Times New Roman" w:hAnsi="Times New Roman" w:cs="Times New Roman"/>
          <w:szCs w:val="24"/>
        </w:rPr>
        <w:fldChar w:fldCharType="end"/>
      </w:r>
      <w:bookmarkEnd w:id="28"/>
      <w:r w:rsidR="00F25813">
        <w:rPr>
          <w:rFonts w:ascii="Times New Roman" w:hAnsi="Times New Roman"/>
        </w:rPr>
        <w:t xml:space="preserve">.  Aynı gün </w:t>
      </w:r>
      <w:r w:rsidR="008B4471">
        <w:rPr>
          <w:rFonts w:ascii="Times New Roman" w:hAnsi="Times New Roman"/>
        </w:rPr>
        <w:t>“KKTC”</w:t>
      </w:r>
      <w:r w:rsidR="00F25813">
        <w:rPr>
          <w:rFonts w:ascii="Times New Roman" w:hAnsi="Times New Roman"/>
        </w:rPr>
        <w:t xml:space="preserve"> Lefkoşa Bölge Mahkemesi, taammüden adam öldürme şüphesiyle mahkemeye çıkarmak amacıyla altıncı ve yedinci şüphelilere (bk. yukarıdaki </w:t>
      </w:r>
      <w:r w:rsidR="0065039F">
        <w:fldChar w:fldCharType="begin"/>
      </w:r>
      <w:r w:rsidR="0065039F">
        <w:instrText xml:space="preserve"> REF suspects3 \h  \* MERGEFORMAT </w:instrText>
      </w:r>
      <w:r w:rsidR="0065039F">
        <w:fldChar w:fldCharType="separate"/>
      </w:r>
      <w:r w:rsidR="00332D11">
        <w:rPr>
          <w:rFonts w:cstheme="minorHAnsi"/>
          <w:szCs w:val="24"/>
        </w:rPr>
        <w:t>41</w:t>
      </w:r>
      <w:r w:rsidR="0065039F">
        <w:fldChar w:fldCharType="end"/>
      </w:r>
      <w:r w:rsidR="00F25813">
        <w:rPr>
          <w:rFonts w:ascii="Times New Roman" w:hAnsi="Times New Roman"/>
        </w:rPr>
        <w:t>. paragraf) yönelik bir müzekkere çıkarmıştır. Arama müzekkereleri, beşinci şüphelinin evine yönelik Girne Bölge Mahkemesi tarafından, altıncı ve yedinci şüphelilerin evlerine yönelik olarak ise Lefkoşa Bölge Mahkemesi tarafından çıkarılmıştır.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83</w:t>
      </w:r>
      <w:r w:rsidRPr="007C6A77">
        <w:rPr>
          <w:rFonts w:ascii="Times New Roman" w:hAnsi="Times New Roman" w:cs="Times New Roman"/>
          <w:szCs w:val="24"/>
        </w:rPr>
        <w:fldChar w:fldCharType="end"/>
      </w:r>
      <w:r w:rsidR="00F25813">
        <w:t>.</w:t>
      </w:r>
      <w:r w:rsidR="00F25813">
        <w:rPr>
          <w:rFonts w:ascii="Times New Roman" w:hAnsi="Times New Roman"/>
        </w:rPr>
        <w:t>  28 Ocak 2005 tarihinde,</w:t>
      </w:r>
      <w:r w:rsidR="003C4A8A">
        <w:rPr>
          <w:rFonts w:ascii="Times New Roman" w:hAnsi="Times New Roman"/>
        </w:rPr>
        <w:t xml:space="preserve"> </w:t>
      </w:r>
      <w:r w:rsidR="008B4471">
        <w:rPr>
          <w:rFonts w:ascii="Times New Roman" w:hAnsi="Times New Roman"/>
        </w:rPr>
        <w:t>“KKTC”</w:t>
      </w:r>
      <w:r w:rsidR="00F25813">
        <w:rPr>
          <w:rFonts w:ascii="Times New Roman" w:hAnsi="Times New Roman"/>
        </w:rPr>
        <w:t xml:space="preserve"> Lefkoşa Bölge Mahkemesi, taammüden adam öldürme şüphesiyle altıncı, yedinci ve sekizinci şüphelileri (bk. yukarıdaki </w:t>
      </w:r>
      <w:r w:rsidR="0065039F">
        <w:fldChar w:fldCharType="begin"/>
      </w:r>
      <w:r w:rsidR="0065039F">
        <w:instrText xml:space="preserve"> REF suspects3 \h  \* MERGEFORMAT </w:instrText>
      </w:r>
      <w:r w:rsidR="0065039F">
        <w:fldChar w:fldCharType="separate"/>
      </w:r>
      <w:r w:rsidR="00332D11">
        <w:rPr>
          <w:rFonts w:cstheme="minorHAnsi"/>
          <w:szCs w:val="24"/>
        </w:rPr>
        <w:t>41</w:t>
      </w:r>
      <w:r w:rsidR="0065039F">
        <w:fldChar w:fldCharType="end"/>
      </w:r>
      <w:r w:rsidR="00F25813">
        <w:rPr>
          <w:rFonts w:ascii="Times New Roman" w:hAnsi="Times New Roman"/>
        </w:rPr>
        <w:t>. paragraf) üç gün daha gözaltında tutmuştur. Ayrıca, sekizinci şüphelinin evi için bir arama müzekkeresi çıkarmıştır.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84</w:t>
      </w:r>
      <w:r w:rsidRPr="007C6A77">
        <w:rPr>
          <w:rFonts w:ascii="Times New Roman" w:hAnsi="Times New Roman" w:cs="Times New Roman"/>
          <w:szCs w:val="24"/>
        </w:rPr>
        <w:fldChar w:fldCharType="end"/>
      </w:r>
      <w:r w:rsidR="00F25813">
        <w:t>.</w:t>
      </w:r>
      <w:r w:rsidR="00F25813">
        <w:rPr>
          <w:rFonts w:ascii="Times New Roman" w:hAnsi="Times New Roman"/>
        </w:rPr>
        <w:t xml:space="preserve">  Aynı tarihte </w:t>
      </w:r>
      <w:r w:rsidR="008B4471">
        <w:rPr>
          <w:rFonts w:ascii="Times New Roman" w:hAnsi="Times New Roman"/>
        </w:rPr>
        <w:t>“KKTC”</w:t>
      </w:r>
      <w:r w:rsidR="00F25813">
        <w:rPr>
          <w:rFonts w:ascii="Times New Roman" w:hAnsi="Times New Roman"/>
        </w:rPr>
        <w:t xml:space="preserve"> polisi beşinci şüphelinin ifadesini almıştır.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85</w:t>
      </w:r>
      <w:r w:rsidRPr="007C6A77">
        <w:rPr>
          <w:rFonts w:ascii="Times New Roman" w:hAnsi="Times New Roman" w:cs="Times New Roman"/>
          <w:szCs w:val="24"/>
        </w:rPr>
        <w:fldChar w:fldCharType="end"/>
      </w:r>
      <w:r w:rsidR="00F25813">
        <w:t>.</w:t>
      </w:r>
      <w:r w:rsidR="00F25813">
        <w:rPr>
          <w:rFonts w:ascii="Times New Roman" w:hAnsi="Times New Roman"/>
        </w:rPr>
        <w:t xml:space="preserve">  31 Ocak 2005 tarihinde, altıncı, yedinci ve sekizinci şüphelilerin tutukluluk hali, </w:t>
      </w:r>
      <w:r w:rsidR="008B4471">
        <w:rPr>
          <w:rFonts w:ascii="Times New Roman" w:hAnsi="Times New Roman"/>
        </w:rPr>
        <w:t>“KKTC”</w:t>
      </w:r>
      <w:r w:rsidR="00F25813">
        <w:rPr>
          <w:rFonts w:ascii="Times New Roman" w:hAnsi="Times New Roman"/>
        </w:rPr>
        <w:t xml:space="preserve"> Lefkoşa Bölge Mahkemesi tarafından taammüden adam öldürmek şüphesiyle sekiz gün daha uzatılmıştır.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86</w:t>
      </w:r>
      <w:r w:rsidRPr="007C6A77">
        <w:rPr>
          <w:rFonts w:ascii="Times New Roman" w:hAnsi="Times New Roman" w:cs="Times New Roman"/>
          <w:szCs w:val="24"/>
        </w:rPr>
        <w:fldChar w:fldCharType="end"/>
      </w:r>
      <w:r w:rsidR="00F25813">
        <w:t>.</w:t>
      </w:r>
      <w:r w:rsidR="00F25813">
        <w:rPr>
          <w:rFonts w:ascii="Times New Roman" w:hAnsi="Times New Roman"/>
        </w:rPr>
        <w:t xml:space="preserve">  Aynı gün </w:t>
      </w:r>
      <w:r w:rsidR="008B4471">
        <w:rPr>
          <w:rFonts w:ascii="Times New Roman" w:hAnsi="Times New Roman"/>
        </w:rPr>
        <w:t>“KKTC”</w:t>
      </w:r>
      <w:r w:rsidR="00F25813">
        <w:rPr>
          <w:rFonts w:ascii="Times New Roman" w:hAnsi="Times New Roman"/>
        </w:rPr>
        <w:t xml:space="preserve"> Lefkoşa Polis Müdürlüğü, beşinci şüphelinin sabıka kaydı hakkında T.C. İçişleri Bakanlığından daha fazla bilgi talep etmiştir. Şüphelinin suç kayıtları, fotoğrafı ve parmak izleri 7 Şubat 2005 tarihinde verilmiştir.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87</w:t>
      </w:r>
      <w:r w:rsidRPr="007C6A77">
        <w:rPr>
          <w:rFonts w:ascii="Times New Roman" w:hAnsi="Times New Roman" w:cs="Times New Roman"/>
          <w:szCs w:val="24"/>
        </w:rPr>
        <w:fldChar w:fldCharType="end"/>
      </w:r>
      <w:r w:rsidR="00F25813">
        <w:t>.</w:t>
      </w:r>
      <w:r w:rsidR="00F25813">
        <w:rPr>
          <w:rFonts w:ascii="Times New Roman" w:hAnsi="Times New Roman"/>
        </w:rPr>
        <w:t xml:space="preserve">  1 Şubat 2005 tarihinde, </w:t>
      </w:r>
      <w:r w:rsidR="008B4471">
        <w:rPr>
          <w:rFonts w:ascii="Times New Roman" w:hAnsi="Times New Roman"/>
        </w:rPr>
        <w:t>“KKTC”</w:t>
      </w:r>
      <w:r w:rsidR="00F25813">
        <w:rPr>
          <w:rFonts w:ascii="Times New Roman" w:hAnsi="Times New Roman"/>
        </w:rPr>
        <w:t xml:space="preserve"> Lefkoşa Bölge Mahkemesi, ilk beş </w:t>
      </w:r>
      <w:r w:rsidR="00E4651D">
        <w:rPr>
          <w:rFonts w:ascii="Times New Roman" w:hAnsi="Times New Roman"/>
        </w:rPr>
        <w:t>şüphelinin</w:t>
      </w:r>
      <w:r w:rsidR="00F25813">
        <w:rPr>
          <w:rFonts w:ascii="Times New Roman" w:hAnsi="Times New Roman"/>
        </w:rPr>
        <w:t xml:space="preserve"> </w:t>
      </w:r>
      <w:r w:rsidR="00E4651D">
        <w:rPr>
          <w:rFonts w:ascii="Times New Roman" w:hAnsi="Times New Roman"/>
        </w:rPr>
        <w:t>tutukluluklarını</w:t>
      </w:r>
      <w:r w:rsidR="00F25813">
        <w:rPr>
          <w:rFonts w:ascii="Times New Roman" w:hAnsi="Times New Roman"/>
        </w:rPr>
        <w:t xml:space="preserve"> taammüden adam öldürmek şüphesiyle yedi gün daha uzatmıştır.</w:t>
      </w:r>
    </w:p>
    <w:bookmarkStart w:id="29" w:name="MK1"/>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88</w:t>
      </w:r>
      <w:r w:rsidRPr="007C6A77">
        <w:rPr>
          <w:rFonts w:ascii="Times New Roman" w:hAnsi="Times New Roman" w:cs="Times New Roman"/>
          <w:szCs w:val="24"/>
        </w:rPr>
        <w:fldChar w:fldCharType="end"/>
      </w:r>
      <w:bookmarkEnd w:id="29"/>
      <w:r w:rsidR="00F25813">
        <w:rPr>
          <w:rFonts w:ascii="Times New Roman" w:hAnsi="Times New Roman"/>
        </w:rPr>
        <w:t xml:space="preserve">.  2 Şubat 2005 tarihinde, </w:t>
      </w:r>
      <w:r w:rsidR="008B4471">
        <w:rPr>
          <w:rFonts w:ascii="Times New Roman" w:hAnsi="Times New Roman"/>
        </w:rPr>
        <w:t>“KKTC”</w:t>
      </w:r>
      <w:r w:rsidR="00F25813">
        <w:rPr>
          <w:rFonts w:ascii="Times New Roman" w:hAnsi="Times New Roman"/>
        </w:rPr>
        <w:t xml:space="preserve"> Lefkoşa Emniyet Genel Müdürlüğü, bütün emniyet şubelerine, davanın şüphelisi olduğunu düşündükleri bir başka şahıs olan M.K.'yı da arıyor olduklarını bildiren bir uyarı göndermiştir. Bu şüphelinin 19 Ocak 2005 tarihinde Türkiye'ye gitmek üzere adadan ayrıldığı ortaya çıkmıştır.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89</w:t>
      </w:r>
      <w:r w:rsidRPr="007C6A77">
        <w:rPr>
          <w:rFonts w:ascii="Times New Roman" w:hAnsi="Times New Roman" w:cs="Times New Roman"/>
          <w:szCs w:val="24"/>
        </w:rPr>
        <w:fldChar w:fldCharType="end"/>
      </w:r>
      <w:r w:rsidR="00F25813">
        <w:t>.</w:t>
      </w:r>
      <w:r w:rsidR="00F25813">
        <w:rPr>
          <w:rFonts w:ascii="Times New Roman" w:hAnsi="Times New Roman"/>
        </w:rPr>
        <w:t xml:space="preserve">  7 Şubat 2005 tarihinde, </w:t>
      </w:r>
      <w:r w:rsidR="008B4471">
        <w:rPr>
          <w:rFonts w:ascii="Times New Roman" w:hAnsi="Times New Roman"/>
        </w:rPr>
        <w:t>“KKTC”</w:t>
      </w:r>
      <w:r w:rsidR="00F25813">
        <w:rPr>
          <w:rFonts w:ascii="Times New Roman" w:hAnsi="Times New Roman"/>
        </w:rPr>
        <w:t xml:space="preserve"> Lefkoşa Emniyet Genel Müdürlüğü, T.C. İçişleri Bakanlığından dokuzuncu şüpheli hakkında sabıka kaydı sorgulaması yapmasını ve kendisinin Türkiye'de olup olmadığını bildirmesini istemiştir.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90</w:t>
      </w:r>
      <w:r w:rsidRPr="007C6A77">
        <w:rPr>
          <w:rFonts w:ascii="Times New Roman" w:hAnsi="Times New Roman" w:cs="Times New Roman"/>
          <w:szCs w:val="24"/>
        </w:rPr>
        <w:fldChar w:fldCharType="end"/>
      </w:r>
      <w:r w:rsidR="00F25813">
        <w:t>.</w:t>
      </w:r>
      <w:r w:rsidR="00F25813">
        <w:rPr>
          <w:rFonts w:ascii="Times New Roman" w:hAnsi="Times New Roman"/>
        </w:rPr>
        <w:t xml:space="preserve">  8 Şubat 2005 tarihinde, </w:t>
      </w:r>
      <w:r w:rsidR="008B4471">
        <w:rPr>
          <w:rFonts w:ascii="Times New Roman" w:hAnsi="Times New Roman"/>
        </w:rPr>
        <w:t>“KKTC”</w:t>
      </w:r>
      <w:r w:rsidR="00F25813">
        <w:rPr>
          <w:rFonts w:ascii="Times New Roman" w:hAnsi="Times New Roman"/>
        </w:rPr>
        <w:t xml:space="preserve"> polisi, birinci, ikinci, üçüncü, beşinci, altıncı ve sekizinci şüphelinin ifadesini almıştır. 11 Şubat 2005 tarihinde, beşinci şüpheliden ek bir ifade daha alınmıştır. Hepsi cinayetlerle bağlantılı olduklarını reddetmiştir.</w:t>
      </w:r>
    </w:p>
    <w:bookmarkStart w:id="30" w:name="release"/>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91</w:t>
      </w:r>
      <w:r w:rsidRPr="007C6A77">
        <w:rPr>
          <w:rFonts w:ascii="Times New Roman" w:hAnsi="Times New Roman" w:cs="Times New Roman"/>
          <w:szCs w:val="24"/>
        </w:rPr>
        <w:fldChar w:fldCharType="end"/>
      </w:r>
      <w:bookmarkEnd w:id="30"/>
      <w:r w:rsidR="00F25813">
        <w:rPr>
          <w:rFonts w:ascii="Times New Roman" w:hAnsi="Times New Roman"/>
        </w:rPr>
        <w:t>.  </w:t>
      </w:r>
      <w:r w:rsidR="00F25813">
        <w:t>11 Şubat 2005 tarihinde veya civarı bir tarihte, tüm şüpheliler suçla bağlantılı olduklarına dair delil yetersizliği nedeniyle serbest bırakılmıştır.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92</w:t>
      </w:r>
      <w:r w:rsidRPr="007C6A77">
        <w:fldChar w:fldCharType="end"/>
      </w:r>
      <w:r w:rsidR="00F25813">
        <w:t xml:space="preserve">.  11 Şubat 2005 tarihinde, Interpol’ün Kıbrıs bürosu tarafından T.C. İçişleri Bakanlığına gönderilen bir e-postayı müteakip </w:t>
      </w:r>
      <w:bookmarkStart w:id="31" w:name="release5thsuspect"/>
      <w:r w:rsidR="00F25813">
        <w:t xml:space="preserve">(bk. yukarıdaki 45. Paragraf), </w:t>
      </w:r>
      <w:bookmarkEnd w:id="31"/>
      <w:r w:rsidR="00F25813">
        <w:t>beşinci şüpheli Mersin’e giriş yaparken yakalanmıştır.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93</w:t>
      </w:r>
      <w:r w:rsidRPr="007C6A77">
        <w:fldChar w:fldCharType="end"/>
      </w:r>
      <w:r w:rsidR="00F25813">
        <w:t>.  14 Şubat 2005 tarihinde, beşinci şüpheli hakkında Kırmızı Bülten'e cevaben Interpol Ankara tarafından Interpol Atina'ya bir mesaj gönderilmiştir. Bu mesajla, beşinci şüphelinin polis tarafından gözaltında tutulduğu ve T.C. Adalet Bakanlığının iddia edilen suçtan haberdar edildiği bildirilmiştir. Ayrıca, Türk Ceza Kanunu uyarınca, yabancı bir ülkede en az üç yıl hapisle cezalandırılabilecek bir suç işlemiş bir Türk uyruklunun Türk hukuku uyarınca cezalandırılabilir olduğunu belirtmişlerdir. Dahası, iç hukuk uyarınca bir Türk vatandaşını</w:t>
      </w:r>
      <w:r w:rsidR="00DB1EAC">
        <w:t>n</w:t>
      </w:r>
      <w:r w:rsidR="00F25813">
        <w:t xml:space="preserve"> Türkiye'den iade e</w:t>
      </w:r>
      <w:r w:rsidR="00DB1EAC">
        <w:t>dilmesi</w:t>
      </w:r>
      <w:r w:rsidR="00F25813">
        <w:t xml:space="preserve"> mümkün değildir. Sonuç olarak, Adalet Bakanlığı soruşturma belgelerinin Interpol kanallarıyla kendilerine gönderilip gönderilmeyeceğini bilmek istemiştir.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94</w:t>
      </w:r>
      <w:r w:rsidRPr="007C6A77">
        <w:fldChar w:fldCharType="end"/>
      </w:r>
      <w:r w:rsidR="00F25813">
        <w:t>.  15 Şubat 2005 tarihinde, beşinci şüpheli cinayetlerle ilgili bir ön dosyanın açıldığı Mersin Cumhuriyet Savcılığına getirilmiş ve Mersin Cumhuriyet Savcısı tarafından sorguya çekilmiştir. Türk Hükümeti, sözkonusu suçla bağlantı kuran herhangi bir delil bulunmadığı ve iadenin talep edilmemesi nedeniyle beşinci şüphelinin serbest bırakıldığını ileri sürmüştür.</w:t>
      </w:r>
    </w:p>
    <w:bookmarkStart w:id="32" w:name="MK"/>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95</w:t>
      </w:r>
      <w:r w:rsidRPr="007C6A77">
        <w:rPr>
          <w:rFonts w:ascii="Times New Roman" w:hAnsi="Times New Roman" w:cs="Times New Roman"/>
          <w:szCs w:val="24"/>
        </w:rPr>
        <w:fldChar w:fldCharType="end"/>
      </w:r>
      <w:bookmarkEnd w:id="32"/>
      <w:r w:rsidR="00F25813">
        <w:rPr>
          <w:rFonts w:ascii="Times New Roman" w:hAnsi="Times New Roman"/>
        </w:rPr>
        <w:t xml:space="preserve">.  M.K. (bk. yukarıdaki  </w:t>
      </w:r>
      <w:r w:rsidR="0065039F">
        <w:fldChar w:fldCharType="begin"/>
      </w:r>
      <w:r w:rsidR="0065039F">
        <w:instrText xml:space="preserve"> REF MK1 \h  \* MERGEFORMAT </w:instrText>
      </w:r>
      <w:r w:rsidR="0065039F">
        <w:fldChar w:fldCharType="separate"/>
      </w:r>
      <w:r w:rsidR="00332D11">
        <w:rPr>
          <w:rFonts w:ascii="Times New Roman" w:hAnsi="Times New Roman" w:cs="Times New Roman"/>
          <w:szCs w:val="24"/>
        </w:rPr>
        <w:t>88</w:t>
      </w:r>
      <w:r w:rsidR="0065039F">
        <w:fldChar w:fldCharType="end"/>
      </w:r>
      <w:r w:rsidR="00F25813">
        <w:rPr>
          <w:rFonts w:ascii="Times New Roman" w:hAnsi="Times New Roman"/>
        </w:rPr>
        <w:t>. paragraf) da takip edilmiş ve 25 Mart 2005 tarihinde, Girne Emniyet Genel Müdürlüğünde polis tarafından sorguya çekilmiştir. Cinayetlerle ilgili herhangi bir bağlantıyı reddetmiştir.</w:t>
      </w:r>
    </w:p>
    <w:p w:rsidR="00F25813" w:rsidRPr="007C6A77" w:rsidRDefault="00BB2D2A" w:rsidP="00F25813">
      <w:pPr>
        <w:pStyle w:val="ECHRPara"/>
      </w:pPr>
      <w:r w:rsidRPr="007C6A77">
        <w:rPr>
          <w:rFonts w:ascii="Times New Roman" w:hAnsi="Times New Roman"/>
        </w:rPr>
        <w:fldChar w:fldCharType="begin"/>
      </w:r>
      <w:r w:rsidR="00F25813" w:rsidRPr="007C6A77">
        <w:rPr>
          <w:rFonts w:ascii="Times New Roman" w:hAnsi="Times New Roman"/>
        </w:rPr>
        <w:instrText xml:space="preserve"> SEQ level0 \*arabic </w:instrText>
      </w:r>
      <w:r w:rsidRPr="007C6A77">
        <w:rPr>
          <w:rFonts w:ascii="Times New Roman" w:hAnsi="Times New Roman"/>
        </w:rPr>
        <w:fldChar w:fldCharType="separate"/>
      </w:r>
      <w:r w:rsidR="00332D11">
        <w:rPr>
          <w:rFonts w:ascii="Times New Roman" w:hAnsi="Times New Roman"/>
          <w:noProof/>
        </w:rPr>
        <w:t>96</w:t>
      </w:r>
      <w:r w:rsidRPr="007C6A77">
        <w:rPr>
          <w:rFonts w:ascii="Times New Roman" w:hAnsi="Times New Roman"/>
        </w:rPr>
        <w:fldChar w:fldCharType="end"/>
      </w:r>
      <w:r w:rsidR="00F25813">
        <w:t>.</w:t>
      </w:r>
      <w:r w:rsidR="00F25813">
        <w:rPr>
          <w:rFonts w:ascii="Times New Roman" w:hAnsi="Times New Roman"/>
        </w:rPr>
        <w:t>  </w:t>
      </w:r>
      <w:r w:rsidR="00F25813">
        <w:t>15 Nisan 2006 tarihinde, yetkililer, Girne bölgesinin Myrtou ("Çamlıbel") köyünde delil bulmak için bir kuyuyu incelemiş</w:t>
      </w:r>
      <w:r w:rsidR="00293A55">
        <w:t>tir</w:t>
      </w:r>
      <w:r w:rsidR="00F25813">
        <w:t>. Fakat hiçbir şey bulunamamıştır.</w:t>
      </w:r>
    </w:p>
    <w:bookmarkStart w:id="33" w:name="TRNCinvest"/>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97</w:t>
      </w:r>
      <w:r w:rsidRPr="007C6A77">
        <w:rPr>
          <w:rFonts w:ascii="Times New Roman" w:hAnsi="Times New Roman" w:cs="Times New Roman"/>
          <w:szCs w:val="24"/>
        </w:rPr>
        <w:fldChar w:fldCharType="end"/>
      </w:r>
      <w:bookmarkEnd w:id="33"/>
      <w:r w:rsidR="00F25813">
        <w:rPr>
          <w:rFonts w:ascii="Times New Roman" w:hAnsi="Times New Roman"/>
        </w:rPr>
        <w:t xml:space="preserve">.  Soruşturma boyunca </w:t>
      </w:r>
      <w:r w:rsidR="008B4471">
        <w:rPr>
          <w:rFonts w:ascii="Times New Roman" w:hAnsi="Times New Roman"/>
        </w:rPr>
        <w:t>“KKTC”</w:t>
      </w:r>
      <w:r w:rsidR="00F25813">
        <w:rPr>
          <w:rFonts w:ascii="Times New Roman" w:hAnsi="Times New Roman"/>
        </w:rPr>
        <w:t xml:space="preserve"> polisi şüphelileri tanıyan veya bir şekilde onlarla bağlı veya ilgili bulunan çok sayıda kişiyi sorgulamış ve ifadelerini almıştır. </w:t>
      </w:r>
      <w:r w:rsidR="00F25813">
        <w:t xml:space="preserve">İş Cetveli başlıklı iç polis dosyasındaki bir belgeden ve verilen ifadelerin kopyalarından görüleceği üzere, ifadeler, şüpheliler de </w:t>
      </w:r>
      <w:r w:rsidR="007F3C38">
        <w:t>dâhil</w:t>
      </w:r>
      <w:r w:rsidR="00F25813">
        <w:t xml:space="preserve"> olmak üzere çeşitli tanıklardan alınmıştır.</w:t>
      </w:r>
      <w:r w:rsidR="00F25813">
        <w:rPr>
          <w:rFonts w:ascii="Times New Roman" w:hAnsi="Times New Roman"/>
        </w:rPr>
        <w:t xml:space="preserve"> Ayrıca delil aramış ve parmak izi almışlardır.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98</w:t>
      </w:r>
      <w:r w:rsidRPr="007C6A77">
        <w:fldChar w:fldCharType="end"/>
      </w:r>
      <w:r w:rsidR="00F25813">
        <w:t xml:space="preserve">.  İş Cetvelindeki bir nota/talimata göre 30 Ocak 2006 tarihinde, </w:t>
      </w:r>
      <w:r w:rsidR="008B4471">
        <w:t>“KKTC”</w:t>
      </w:r>
      <w:r w:rsidR="00F25813">
        <w:t xml:space="preserve"> Polis Başmüfettişi, </w:t>
      </w:r>
      <w:r w:rsidR="008B4471">
        <w:t>“KKTC”</w:t>
      </w:r>
      <w:r w:rsidR="00F25813">
        <w:t xml:space="preserve"> Lefkoşa Adli Polis Müdürü</w:t>
      </w:r>
      <w:r w:rsidR="00B65CBA">
        <w:t>ne</w:t>
      </w:r>
      <w:r w:rsidR="00F25813">
        <w:t xml:space="preserve"> – Polis Müdür</w:t>
      </w:r>
      <w:r w:rsidR="002B7676">
        <w:t>ü Muavinine</w:t>
      </w:r>
      <w:r w:rsidR="00F25813">
        <w:t xml:space="preserve"> Başsavcının sözlü talimatıyla Elmas, Zerrin ve Eylül Güzelyurtlu'nun öldürülmesine ilişkin dosyanın bir kopyası</w:t>
      </w:r>
      <w:r w:rsidR="00B639A2">
        <w:t>nın</w:t>
      </w:r>
      <w:r w:rsidR="00F25813">
        <w:t xml:space="preserve"> hazırlanmış olduğunu ve </w:t>
      </w:r>
      <w:r w:rsidR="008B4471">
        <w:t>“KKTC”</w:t>
      </w:r>
      <w:r w:rsidR="00F25813">
        <w:t xml:space="preserve"> Başsavcısının görüşüne sunulacağını yazmıştır. </w:t>
      </w:r>
      <w:r w:rsidR="008B4471">
        <w:t>“KKTC”</w:t>
      </w:r>
      <w:r w:rsidR="00F25813">
        <w:t xml:space="preserve"> Lefkoşa Adli Polis Müdüründen aynı tarihi taşıyan bir nota, </w:t>
      </w:r>
      <w:r w:rsidR="008B4471">
        <w:t>“KKTC”</w:t>
      </w:r>
      <w:r w:rsidR="00F25813">
        <w:t xml:space="preserve"> Başsavcılığına, davayla ilgili dosyanın hazır olduğunu ve </w:t>
      </w:r>
      <w:r w:rsidR="008B4471">
        <w:t>“KKTC”</w:t>
      </w:r>
      <w:r w:rsidR="00F25813">
        <w:t xml:space="preserve"> Başsavcısına teslim edildiğini bildirmiştir.</w:t>
      </w:r>
    </w:p>
    <w:bookmarkStart w:id="34" w:name="TRNC22MARCH07"/>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99</w:t>
      </w:r>
      <w:r w:rsidRPr="007C6A77">
        <w:rPr>
          <w:rFonts w:ascii="Times New Roman" w:hAnsi="Times New Roman" w:cs="Times New Roman"/>
          <w:szCs w:val="24"/>
        </w:rPr>
        <w:fldChar w:fldCharType="end"/>
      </w:r>
      <w:bookmarkEnd w:id="34"/>
      <w:r w:rsidR="00F25813">
        <w:rPr>
          <w:rFonts w:ascii="Times New Roman" w:hAnsi="Times New Roman"/>
        </w:rPr>
        <w:t xml:space="preserve">.  Türk Hükümeti, </w:t>
      </w:r>
      <w:r w:rsidR="008B4471">
        <w:rPr>
          <w:rFonts w:ascii="Times New Roman" w:hAnsi="Times New Roman"/>
        </w:rPr>
        <w:t>“KKTC”</w:t>
      </w:r>
      <w:r w:rsidR="00F25813">
        <w:rPr>
          <w:rFonts w:ascii="Times New Roman" w:hAnsi="Times New Roman"/>
        </w:rPr>
        <w:t xml:space="preserve"> Lefkoşa Polis Başmüfettişi</w:t>
      </w:r>
      <w:r w:rsidR="007D3583">
        <w:rPr>
          <w:rFonts w:ascii="Times New Roman" w:hAnsi="Times New Roman"/>
        </w:rPr>
        <w:t xml:space="preserve"> tarafından hazırlanan </w:t>
      </w:r>
      <w:r w:rsidR="00F25813">
        <w:rPr>
          <w:rFonts w:ascii="Times New Roman" w:hAnsi="Times New Roman"/>
        </w:rPr>
        <w:t xml:space="preserve">bir raporun </w:t>
      </w:r>
      <w:r w:rsidR="007D3583">
        <w:rPr>
          <w:rFonts w:ascii="Times New Roman" w:hAnsi="Times New Roman"/>
        </w:rPr>
        <w:t>ardından</w:t>
      </w:r>
      <w:r w:rsidR="00F25813">
        <w:rPr>
          <w:rFonts w:ascii="Times New Roman" w:hAnsi="Times New Roman"/>
        </w:rPr>
        <w:t xml:space="preserve"> dava</w:t>
      </w:r>
      <w:r w:rsidR="00034FE0">
        <w:rPr>
          <w:rFonts w:ascii="Times New Roman" w:hAnsi="Times New Roman"/>
        </w:rPr>
        <w:t>nın</w:t>
      </w:r>
      <w:r w:rsidR="00F25813">
        <w:rPr>
          <w:rFonts w:ascii="Times New Roman" w:hAnsi="Times New Roman"/>
        </w:rPr>
        <w:t xml:space="preserve"> “çözüme</w:t>
      </w:r>
      <w:r w:rsidR="000526CC">
        <w:rPr>
          <w:rFonts w:ascii="Times New Roman" w:hAnsi="Times New Roman"/>
        </w:rPr>
        <w:t xml:space="preserve"> kavuşturulmamış</w:t>
      </w:r>
      <w:r w:rsidR="00F25813">
        <w:rPr>
          <w:rFonts w:ascii="Times New Roman" w:hAnsi="Times New Roman"/>
        </w:rPr>
        <w:t>” olarak sınıflandırıldığını belirtmiştir. Tarihi olmayan bu raporun bir kopyasını da vermiş</w:t>
      </w:r>
      <w:r w:rsidR="00E90513">
        <w:rPr>
          <w:rFonts w:ascii="Times New Roman" w:hAnsi="Times New Roman"/>
        </w:rPr>
        <w:t>tir</w:t>
      </w:r>
      <w:r w:rsidR="00F25813">
        <w:rPr>
          <w:rFonts w:ascii="Times New Roman" w:hAnsi="Times New Roman"/>
        </w:rPr>
        <w:t xml:space="preserve">. Bu rapora göre, soruşturmanın bir parçası olarak üstlenilen son eylem, </w:t>
      </w:r>
      <w:r w:rsidR="008B4471">
        <w:rPr>
          <w:rFonts w:ascii="Times New Roman" w:hAnsi="Times New Roman"/>
        </w:rPr>
        <w:t>“KKTC”</w:t>
      </w:r>
      <w:r w:rsidR="00F25813">
        <w:rPr>
          <w:rFonts w:ascii="Times New Roman" w:hAnsi="Times New Roman"/>
        </w:rPr>
        <w:t xml:space="preserve"> polisi tarafından denetlenen beşinci şüphelinin otomobilinin Lefkoşa Gümrük ve Rüsumat Dairesine teslim edildiği 22 Mart 2007 tarihinde gerçekleşmiş gibi görünüyordu. İnceleme, suçla ilgili herhangi bir delil toplanmasına yardımcı olmamıştır. Raporunda </w:t>
      </w:r>
      <w:r w:rsidR="008B4471">
        <w:rPr>
          <w:rFonts w:ascii="Times New Roman" w:hAnsi="Times New Roman"/>
        </w:rPr>
        <w:t>“KKTC”</w:t>
      </w:r>
      <w:r w:rsidR="00F25813">
        <w:rPr>
          <w:rFonts w:ascii="Times New Roman" w:hAnsi="Times New Roman"/>
        </w:rPr>
        <w:t xml:space="preserve"> Polis Başmüfettişi, polisin cinayet tarihinden itibaren raporu yazdığı zamana kadar yapılan soruşturma temelinde polisin davayı çözemediğini kaydetmiştir. Bu nedenle, davanın "şimdilik çözüme kavuşturulmamış" olarak kaydedilebileceğini önermiştir.</w:t>
      </w:r>
    </w:p>
    <w:bookmarkStart w:id="35" w:name="nonresolved"/>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100</w:t>
      </w:r>
      <w:r w:rsidRPr="007C6A77">
        <w:rPr>
          <w:rFonts w:ascii="Times New Roman" w:hAnsi="Times New Roman" w:cs="Times New Roman"/>
          <w:szCs w:val="24"/>
        </w:rPr>
        <w:fldChar w:fldCharType="end"/>
      </w:r>
      <w:bookmarkEnd w:id="35"/>
      <w:r w:rsidR="00F25813">
        <w:rPr>
          <w:rFonts w:ascii="Times New Roman" w:hAnsi="Times New Roman"/>
        </w:rPr>
        <w:t xml:space="preserve">.  19 Ağustos 2009 tarihinde, </w:t>
      </w:r>
      <w:r w:rsidR="008B4471">
        <w:rPr>
          <w:rFonts w:ascii="Times New Roman" w:hAnsi="Times New Roman"/>
        </w:rPr>
        <w:t>“KKTC”</w:t>
      </w:r>
      <w:r w:rsidR="00F25813">
        <w:rPr>
          <w:rFonts w:ascii="Times New Roman" w:hAnsi="Times New Roman"/>
        </w:rPr>
        <w:t xml:space="preserve"> Başsavcılığı dava dosyasının bir kopyasını </w:t>
      </w:r>
      <w:r w:rsidR="008B4471">
        <w:rPr>
          <w:rFonts w:ascii="Times New Roman" w:hAnsi="Times New Roman"/>
        </w:rPr>
        <w:t>“KKTC”</w:t>
      </w:r>
      <w:r w:rsidR="00F25813">
        <w:rPr>
          <w:rFonts w:ascii="Times New Roman" w:hAnsi="Times New Roman"/>
        </w:rPr>
        <w:t xml:space="preserve"> Dışişleri Bakanlığına göndermiştir. Başsavcılık, Dışişleri Bakanlığına davanın bir önceki </w:t>
      </w:r>
      <w:r w:rsidR="008B4471">
        <w:rPr>
          <w:rFonts w:ascii="Times New Roman" w:hAnsi="Times New Roman"/>
        </w:rPr>
        <w:t>“KKTC”</w:t>
      </w:r>
      <w:r w:rsidR="00F25813">
        <w:rPr>
          <w:rFonts w:ascii="Times New Roman" w:hAnsi="Times New Roman"/>
        </w:rPr>
        <w:t xml:space="preserve"> Başsavcısının talimatıyla "şimdilik çözüme kavuşturulmamış" olarak sınıflandırıldığını bildirmiştir.</w:t>
      </w:r>
    </w:p>
    <w:bookmarkStart w:id="36" w:name="TRNCfileopen1"/>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101</w:t>
      </w:r>
      <w:r w:rsidRPr="007C6A77">
        <w:rPr>
          <w:rFonts w:ascii="Times New Roman" w:hAnsi="Times New Roman" w:cs="Times New Roman"/>
          <w:szCs w:val="24"/>
        </w:rPr>
        <w:fldChar w:fldCharType="end"/>
      </w:r>
      <w:bookmarkEnd w:id="36"/>
      <w:r w:rsidR="00F25813">
        <w:rPr>
          <w:rFonts w:ascii="Times New Roman" w:hAnsi="Times New Roman"/>
        </w:rPr>
        <w:t xml:space="preserve">.  Türk Hükümeti, dava dosyasının </w:t>
      </w:r>
      <w:r w:rsidR="008B4471">
        <w:rPr>
          <w:rFonts w:ascii="Times New Roman" w:hAnsi="Times New Roman"/>
        </w:rPr>
        <w:t>“KKTC”</w:t>
      </w:r>
      <w:r w:rsidR="00F25813">
        <w:rPr>
          <w:rFonts w:ascii="Times New Roman" w:hAnsi="Times New Roman"/>
        </w:rPr>
        <w:t xml:space="preserve"> Başsavcısında olduğunu ve Kıbrıs Cumhuriyeti makamları tarafından delillerin ibraz edilmesine kadar açık kaldığını belirtmiştir.</w:t>
      </w:r>
    </w:p>
    <w:bookmarkStart w:id="37" w:name="aftercommunication"/>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102</w:t>
      </w:r>
      <w:r w:rsidRPr="007C6A77">
        <w:rPr>
          <w:rFonts w:ascii="Times New Roman" w:hAnsi="Times New Roman" w:cs="Times New Roman"/>
          <w:szCs w:val="24"/>
        </w:rPr>
        <w:fldChar w:fldCharType="end"/>
      </w:r>
      <w:bookmarkEnd w:id="37"/>
      <w:r w:rsidR="00F25813">
        <w:rPr>
          <w:rFonts w:ascii="Times New Roman" w:hAnsi="Times New Roman"/>
        </w:rPr>
        <w:t xml:space="preserve">.  Türk Hükümeti, davanın tebliğini müteakiben, soruşturma dosyasını Mahkeme aracılığıyla Kıbrıs Hükümetinden aldıktan sonra </w:t>
      </w:r>
      <w:r w:rsidR="008B4471">
        <w:rPr>
          <w:rFonts w:ascii="Times New Roman" w:hAnsi="Times New Roman"/>
        </w:rPr>
        <w:t>“KKTC”</w:t>
      </w:r>
      <w:r w:rsidR="00F25813">
        <w:rPr>
          <w:rFonts w:ascii="Times New Roman" w:hAnsi="Times New Roman"/>
        </w:rPr>
        <w:t xml:space="preserve"> polisinin 24 Şubat 2010 tarihinde birinci ve ikinci şüpheliyi tekrar sorguya çekmiş olduğunu ileri sürmüştür. Şüpheliler cinayetlerle bağlantılı olduklarını reddetmişlerdir.</w:t>
      </w:r>
    </w:p>
    <w:p w:rsidR="00F25813" w:rsidRPr="007C6A77" w:rsidRDefault="00BB2D2A" w:rsidP="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103</w:t>
      </w:r>
      <w:r w:rsidRPr="007C6A77">
        <w:rPr>
          <w:rFonts w:ascii="Times New Roman" w:hAnsi="Times New Roman" w:cs="Times New Roman"/>
          <w:szCs w:val="24"/>
        </w:rPr>
        <w:fldChar w:fldCharType="end"/>
      </w:r>
      <w:r w:rsidR="00F25813">
        <w:t>.</w:t>
      </w:r>
      <w:r w:rsidR="00F25813">
        <w:rPr>
          <w:rFonts w:ascii="Times New Roman" w:hAnsi="Times New Roman"/>
        </w:rPr>
        <w:t xml:space="preserve">  Ardından, diğer davalarda, 31 Ağustos 2010 tarihinde, Girne Ağırlaştırılmış Ağır Ceza Mahkemesi, birinci ve ikinci şüpheliyi, diğerlerinin yanı sıra, birinci başvuranın korumasının öldürülmesinden dolayı suçlu bulmuş ve her birini otuz yıla varan hapis cezasına çarptırmıştır. Birinci ve ikinci şüphelinin itirazları </w:t>
      </w:r>
      <w:r w:rsidR="008B4471">
        <w:rPr>
          <w:rFonts w:ascii="Times New Roman" w:hAnsi="Times New Roman"/>
        </w:rPr>
        <w:t>“KKTC”</w:t>
      </w:r>
      <w:r w:rsidR="00F25813">
        <w:rPr>
          <w:rFonts w:ascii="Times New Roman" w:hAnsi="Times New Roman"/>
        </w:rPr>
        <w:t xml:space="preserve"> Yüksek Mahkemesi tarafından 4 Ocak 2012 tarihinde reddedilmiştir. Şu anda ikisi de cezaevindedir.</w:t>
      </w:r>
    </w:p>
    <w:bookmarkStart w:id="38" w:name="trial1"/>
    <w:p w:rsidR="00F25813" w:rsidRPr="007C6A77" w:rsidRDefault="00BB2D2A" w:rsidP="00F25813">
      <w:pPr>
        <w:pStyle w:val="ECHRPara"/>
      </w:pPr>
      <w:r w:rsidRPr="007C6A77">
        <w:rPr>
          <w:rFonts w:ascii="Times New Roman" w:hAnsi="Times New Roman" w:cs="Times New Roman"/>
          <w:szCs w:val="24"/>
        </w:rPr>
        <w:fldChar w:fldCharType="begin"/>
      </w:r>
      <w:r w:rsidR="00F25813"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332D11">
        <w:rPr>
          <w:rFonts w:ascii="Times New Roman" w:hAnsi="Times New Roman" w:cs="Times New Roman"/>
          <w:noProof/>
          <w:szCs w:val="24"/>
        </w:rPr>
        <w:t>104</w:t>
      </w:r>
      <w:r w:rsidRPr="007C6A77">
        <w:rPr>
          <w:rFonts w:ascii="Times New Roman" w:hAnsi="Times New Roman" w:cs="Times New Roman"/>
          <w:szCs w:val="24"/>
        </w:rPr>
        <w:fldChar w:fldCharType="end"/>
      </w:r>
      <w:bookmarkEnd w:id="38"/>
      <w:r w:rsidR="00F25813">
        <w:rPr>
          <w:rFonts w:ascii="Times New Roman" w:hAnsi="Times New Roman"/>
        </w:rPr>
        <w:t xml:space="preserve">.  Türk Hükümeti, bu davalar bağlamında, ilk şüphelinin, ikinci şüphelinin üç kişiyi öldürdüğünü bir </w:t>
      </w:r>
      <w:r w:rsidR="002321BC">
        <w:rPr>
          <w:rFonts w:ascii="Times New Roman" w:hAnsi="Times New Roman"/>
        </w:rPr>
        <w:t>kâğıda</w:t>
      </w:r>
      <w:r w:rsidR="00F25813">
        <w:rPr>
          <w:rFonts w:ascii="Times New Roman" w:hAnsi="Times New Roman"/>
        </w:rPr>
        <w:t xml:space="preserve"> yazdığını iddia etmiştir.</w:t>
      </w:r>
      <w:r w:rsidR="00F25813">
        <w:rPr>
          <w:rFonts w:ascii="Times New Roman" w:hAnsi="Times New Roman"/>
          <w:color w:val="000000" w:themeColor="text1"/>
        </w:rPr>
        <w:t xml:space="preserve"> </w:t>
      </w:r>
      <w:r w:rsidR="00F25813">
        <w:t>Buna ek olarak, Girne Ağır Ceza Mahkemesi tarafından yapılan, yemin etmişken, cezalandırılması gereken bir beyanatta bulunursa bunun kendi aleyhinde kullanılabileceğine dair bir ikazın ardından, ikinci şüpheli şunları söylemiştir:</w:t>
      </w:r>
      <w:r w:rsidR="00F25813">
        <w:rPr>
          <w:rFonts w:ascii="Times New Roman" w:hAnsi="Times New Roman"/>
        </w:rPr>
        <w:t xml:space="preserve"> "Bu Güzelyurtlu olayını bizzat kendim gördüm. Söylemek istediğim budur. Bir şey daha var. Onun bana söylediği bir şey… Ben görmedim, bana bunu o söyledi. </w:t>
      </w:r>
      <w:r w:rsidR="00F25813">
        <w:t xml:space="preserve">Bu aşamada, Güzelyurtlu cinayeti hakkında konuşmak istemiyorum, Sayın </w:t>
      </w:r>
      <w:r w:rsidR="002321BC">
        <w:t>Hâkim</w:t>
      </w:r>
      <w:r w:rsidR="00F25813">
        <w:t>". Girne Ağır Ceza Mahkemesi, kararında ilk şüphelinin ifade</w:t>
      </w:r>
      <w:r w:rsidR="00126E02">
        <w:t>sini</w:t>
      </w:r>
      <w:r w:rsidR="00F25813">
        <w:t xml:space="preserve"> geri çek</w:t>
      </w:r>
      <w:r w:rsidR="00126E02">
        <w:t>ip</w:t>
      </w:r>
      <w:r w:rsidR="00F25813">
        <w:t xml:space="preserve"> farklı ifade</w:t>
      </w:r>
      <w:r w:rsidR="00126E02">
        <w:t xml:space="preserve"> verdiğini göz önüne alarak</w:t>
      </w:r>
      <w:r w:rsidR="00F25813">
        <w:t xml:space="preserve">, huzurunda </w:t>
      </w:r>
      <w:r w:rsidR="00BD5075">
        <w:t xml:space="preserve">gönüllü </w:t>
      </w:r>
      <w:r w:rsidR="0050289F">
        <w:t>verilen</w:t>
      </w:r>
      <w:r w:rsidR="00F25813">
        <w:t xml:space="preserve"> ifadeleri daha dikkatle incelemek durumunda kaldığını belirtmiştir. İlk şüpheli polise ek ifade vermemiştir.</w:t>
      </w:r>
    </w:p>
    <w:bookmarkStart w:id="39" w:name="reviewalafterstmt"/>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105</w:t>
      </w:r>
      <w:r w:rsidRPr="007C6A77">
        <w:fldChar w:fldCharType="end"/>
      </w:r>
      <w:bookmarkEnd w:id="39"/>
      <w:r w:rsidR="00F25813">
        <w:t>.  Yukarıdaki gelişme</w:t>
      </w:r>
      <w:r w:rsidR="00803FD6">
        <w:t>nin ardından</w:t>
      </w:r>
      <w:r w:rsidR="00F25813">
        <w:t xml:space="preserve">, </w:t>
      </w:r>
      <w:r w:rsidR="008B4471">
        <w:t>“KKTC”</w:t>
      </w:r>
      <w:r w:rsidR="00F25813">
        <w:t xml:space="preserve"> Başsavcısı soruşturma dosyasını gözden geçirmiştir. Başsavcı, kanıt kurallarını dikkate alarak, ilk şüpheli ifadesini geri çekmese bile, başka delil bulunmadığı takdirde, bu ifadenin, şüphelilere isnat edilecek herhangi bir suçlama için yeterli olmayacağı kanaatine varmıştır.</w:t>
      </w:r>
    </w:p>
    <w:p w:rsidR="00F25813" w:rsidRPr="007C6A77" w:rsidRDefault="00F25813" w:rsidP="00F25813">
      <w:pPr>
        <w:pStyle w:val="ECHRHeading2"/>
      </w:pPr>
      <w:r>
        <w:t>Birleşmiş Milletler aracılığıyla işbirliği teşebbüsleri</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106</w:t>
      </w:r>
      <w:r w:rsidRPr="007C6A77">
        <w:rPr>
          <w:rFonts w:eastAsiaTheme="minorHAnsi" w:cstheme="minorHAnsi"/>
          <w:szCs w:val="24"/>
        </w:rPr>
        <w:fldChar w:fldCharType="end"/>
      </w:r>
      <w:r w:rsidR="00F25813">
        <w:t xml:space="preserve">.  Cinayetlerin ardından Kıbrıs Hükümeti, </w:t>
      </w:r>
      <w:r w:rsidR="008B4471">
        <w:t>“KKTC”</w:t>
      </w:r>
      <w:r w:rsidR="00F25813">
        <w:t xml:space="preserve"> makamları ve başvuranlar olayla ilgili olarak </w:t>
      </w:r>
      <w:r w:rsidR="00E562AE">
        <w:t>BMBG</w:t>
      </w:r>
      <w:r w:rsidR="00F25813">
        <w:t xml:space="preserve"> yetkilileri ile temasa geçmiştir. </w:t>
      </w:r>
      <w:r w:rsidR="00E17F18">
        <w:t>T</w:t>
      </w:r>
      <w:r w:rsidR="00F25813">
        <w:t>oplantı</w:t>
      </w:r>
      <w:r w:rsidR="00E17F18">
        <w:t>lar</w:t>
      </w:r>
      <w:r w:rsidR="00F25813">
        <w:t xml:space="preserve"> gerçekleştirilmiş</w:t>
      </w:r>
      <w:r w:rsidR="00127141">
        <w:t>, telefon görüşmeleri</w:t>
      </w:r>
      <w:r w:rsidR="00F25813">
        <w:t xml:space="preserve"> </w:t>
      </w:r>
      <w:r w:rsidR="002321BC">
        <w:t>ve yazışmalar</w:t>
      </w:r>
      <w:r w:rsidR="00127141">
        <w:t xml:space="preserve"> yapılmıştır</w:t>
      </w:r>
      <w:r w:rsidR="00F25813">
        <w:t xml:space="preserve">. </w:t>
      </w:r>
      <w:r w:rsidR="00E562AE">
        <w:t>BMBG</w:t>
      </w:r>
      <w:r w:rsidR="00F25813">
        <w:t xml:space="preserve"> ve Kıbrıs polisi, </w:t>
      </w:r>
      <w:r w:rsidR="00F338B7">
        <w:t>ayrıca</w:t>
      </w:r>
      <w:r w:rsidR="00F25813">
        <w:t xml:space="preserve"> </w:t>
      </w:r>
      <w:r w:rsidR="008B4471">
        <w:t>“KKTC”</w:t>
      </w:r>
      <w:r w:rsidR="00F25813">
        <w:t xml:space="preserve"> Başbakanı ve Başbakan yardımcısı </w:t>
      </w:r>
      <w:r w:rsidR="00B36D76">
        <w:t xml:space="preserve">da </w:t>
      </w:r>
      <w:r w:rsidR="007F3C38">
        <w:t>dâhil</w:t>
      </w:r>
      <w:r w:rsidR="00F25813">
        <w:t xml:space="preserve"> olmak üzere</w:t>
      </w:r>
      <w:r w:rsidR="00B36D76">
        <w:t>,</w:t>
      </w:r>
      <w:r w:rsidR="00F25813">
        <w:t xml:space="preserve"> </w:t>
      </w:r>
      <w:r w:rsidR="008B4471">
        <w:t>“KKTC”</w:t>
      </w:r>
      <w:r w:rsidR="00F25813">
        <w:t xml:space="preserve"> polisi ve yetkilileri arasında toplantılar gerçekleştirilmiştir. Dosyadan, iki tarafın da katıldığı tek toplantının, 24 Ocak 2005 tarihinde </w:t>
      </w:r>
      <w:r w:rsidR="008B4471">
        <w:t>“KKTC”</w:t>
      </w:r>
      <w:r w:rsidR="00F25813">
        <w:t xml:space="preserve"> Başbakanı Özel Kalemi, </w:t>
      </w:r>
      <w:r w:rsidR="00E562AE">
        <w:t>BMBG</w:t>
      </w:r>
      <w:r w:rsidR="00F25813">
        <w:t xml:space="preserve"> </w:t>
      </w:r>
      <w:r w:rsidR="002321BC">
        <w:t>Kıdemli Polis</w:t>
      </w:r>
      <w:r w:rsidR="00F25813">
        <w:t xml:space="preserve"> Danışmanı ve Komutanı ("SPA"), </w:t>
      </w:r>
      <w:r w:rsidR="00E562AE">
        <w:t>BMBG</w:t>
      </w:r>
      <w:r w:rsidR="00F25813">
        <w:t xml:space="preserve"> sivil işler birimi başkanı ile Kıbrıs Cumhuriyeti Cumhurbaşkanının temsilcisi arasındaki toplantı olduğu görülmektedir. 2005 ve 2006 yılları arasında, başvuranların temsilcileri ile </w:t>
      </w:r>
      <w:r w:rsidR="00E562AE">
        <w:t>BMBG</w:t>
      </w:r>
      <w:r w:rsidR="00F25813">
        <w:t xml:space="preserve"> yetkilileri arasında cinayetlerin soruşturulmasına ilişkin yazışmalar yapılmıştır.</w:t>
      </w:r>
    </w:p>
    <w:p w:rsidR="00F25813" w:rsidRPr="007C6A77" w:rsidRDefault="00F25813" w:rsidP="00F25813">
      <w:pPr>
        <w:pStyle w:val="ECHRHeading3"/>
      </w:pPr>
      <w:r>
        <w:t>1.  D.</w:t>
      </w:r>
      <w:r>
        <w:tab/>
        <w:t>Başvuranlar tarafından verilen bilgiler</w:t>
      </w:r>
    </w:p>
    <w:p w:rsidR="00F25813" w:rsidRPr="007C6A77" w:rsidRDefault="00F25813" w:rsidP="00F25813">
      <w:pPr>
        <w:pStyle w:val="ECHRHeading4"/>
      </w:pPr>
      <w:r>
        <w:t>(a)</w:t>
      </w:r>
      <w:r>
        <w:tab/>
        <w:t>20 Ocak 2005 tarihli iç yazışma (Kıbrıs)</w:t>
      </w:r>
    </w:p>
    <w:p w:rsidR="00F25813" w:rsidRPr="007C6A77" w:rsidRDefault="00BB2D2A" w:rsidP="00F25813">
      <w:pPr>
        <w:pStyle w:val="ECHRPara"/>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107</w:t>
      </w:r>
      <w:r w:rsidRPr="007C6A77">
        <w:rPr>
          <w:rFonts w:eastAsiaTheme="minorHAnsi" w:cstheme="minorHAnsi"/>
          <w:szCs w:val="24"/>
        </w:rPr>
        <w:fldChar w:fldCharType="end"/>
      </w:r>
      <w:r w:rsidR="00F25813">
        <w:t xml:space="preserve">.  Kıbrıs Hükümetinin ileri sürdüğü bu yazışmaya göre, Kıbrıs makamları </w:t>
      </w:r>
      <w:r w:rsidR="00E562AE">
        <w:t>BMBG</w:t>
      </w:r>
      <w:r w:rsidR="00F25813">
        <w:t xml:space="preserve">’nin destek olup olamayacağını görmek için </w:t>
      </w:r>
      <w:r w:rsidR="00E562AE">
        <w:t>BMBG</w:t>
      </w:r>
      <w:r w:rsidR="00F25813">
        <w:t xml:space="preserve">'nin Özel Temsilcisi ile temasa geçmiştir. </w:t>
      </w:r>
      <w:r w:rsidR="00E562AE">
        <w:t>BMBG</w:t>
      </w:r>
      <w:r w:rsidR="00F25813">
        <w:t xml:space="preserve">'ye suçla ilgili kapsamlı bir soruşturma yapma niyetinde oldukları ve polislerin bilgi ve delil toplamak için yoğun bir şekilde çalıştıkları bilgisini vermişlerdir. Bununla birlikte, bu bilgi ve belgelerin bazılarının işgal altındaki alanlardan toplanması gerekmekteydi. </w:t>
      </w:r>
      <w:r w:rsidR="00E562AE">
        <w:t>BMBG</w:t>
      </w:r>
      <w:r w:rsidR="00F25813">
        <w:t xml:space="preserve"> Özel Temsilcisi, </w:t>
      </w:r>
      <w:r w:rsidR="00E562AE">
        <w:t>BMBG</w:t>
      </w:r>
      <w:r w:rsidR="00F25813">
        <w:t xml:space="preserve">'nin yardıma hazır olduğunu, ancak zorlukları kabul ederek, iki tarafın birbirleriyle doğrudan temas kurmasının ve bilgi alışverişinde bulunmasının daha iyi olabileceğini söylemiştir. Kıbrıs makamları, Kıbrıs polisinin </w:t>
      </w:r>
      <w:r w:rsidR="008B4471">
        <w:t>“KKTC”</w:t>
      </w:r>
      <w:r w:rsidR="00F25813">
        <w:t xml:space="preserve"> polisi ile doğrudan temasa geçmesi mümkün olmadığından, </w:t>
      </w:r>
      <w:r w:rsidR="00E562AE">
        <w:t>BMBG</w:t>
      </w:r>
      <w:r w:rsidR="00F25813">
        <w:t>'nin müdahalesine başvurduklarını bildirmiştir.</w:t>
      </w:r>
    </w:p>
    <w:p w:rsidR="00F25813" w:rsidRPr="007C6A77" w:rsidRDefault="00F25813" w:rsidP="00F25813">
      <w:pPr>
        <w:pStyle w:val="ECHRHeading4"/>
      </w:pPr>
      <w:r>
        <w:t>(b) Kıbrıs polisinin 21 Ocak 2005 tarihli iç yazışması</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108</w:t>
      </w:r>
      <w:r w:rsidRPr="007C6A77">
        <w:rPr>
          <w:rFonts w:eastAsiaTheme="minorHAnsi" w:cstheme="minorHAnsi"/>
          <w:szCs w:val="24"/>
        </w:rPr>
        <w:fldChar w:fldCharType="end"/>
      </w:r>
      <w:r w:rsidR="00F25813">
        <w:t xml:space="preserve">.  Bu yazışmaya göre, o gün </w:t>
      </w:r>
      <w:r w:rsidR="00E562AE">
        <w:t>BMBG</w:t>
      </w:r>
      <w:r w:rsidR="00F25813">
        <w:t xml:space="preserve">'nin Lefkoşa’daki merkezinde, </w:t>
      </w:r>
      <w:r w:rsidR="00E562AE">
        <w:t>BMBG</w:t>
      </w:r>
      <w:r w:rsidR="00F25813">
        <w:t xml:space="preserve">'in Kıdemli Polis Danışmanının ve Komutanının girişimi üzerine Kıdemli Polis Danışmanı ve Kıbrıs Emniyet Genel Müdür Yardımcısı arasında bir toplantı düzenlenmiştir. Kıdemli Polis Danışmanı aynı gün, </w:t>
      </w:r>
      <w:r w:rsidR="008B4471">
        <w:t>“KKTC”</w:t>
      </w:r>
      <w:r w:rsidR="00F25813">
        <w:t xml:space="preserve"> Başsavcısı ile cinayetlerle ilgili uzun bir toplantı yaptığını ifade etmiştir. Kıdemli Polis Danışmanı,  </w:t>
      </w:r>
      <w:r w:rsidR="008B4471">
        <w:t>“KKTC”</w:t>
      </w:r>
      <w:r w:rsidR="00F25813">
        <w:t xml:space="preserve"> Emniyet Genel Müdürünü, Kıbrıs polisinin, başka iki kişiyi suçla ilişkilendiren diğer delillerin yanı sıra şüphelilerin üçünü de suçla bağlayan genetik materyalleri bulmuş olduğunu  (o sırada bu şüphelilerin kim olduğunu onlara söyleyecek konumda olmamasına rağmen) ve olay yerinde bulunan mermi kovanlarından birinin Türkiye'de yapıldığını söylemiştir. Ayrıca, dördü </w:t>
      </w:r>
      <w:r w:rsidR="008B4471">
        <w:t>“KKTC”</w:t>
      </w:r>
      <w:r w:rsidR="00F25813">
        <w:t xml:space="preserve"> cezaevinde tutuklanan şüpheliler için Kıbrıs mahkemesi tarafından beş tutuklama müzekkere</w:t>
      </w:r>
      <w:r w:rsidR="00AF2177">
        <w:t>sinin</w:t>
      </w:r>
      <w:r w:rsidR="00F25813">
        <w:t xml:space="preserve"> çıkarıldığını bildirmiştir. Şüphelilerin serbest bırakılması halinde </w:t>
      </w:r>
      <w:r w:rsidR="008B4471">
        <w:t>“KKTC”</w:t>
      </w:r>
      <w:r w:rsidR="00F25813">
        <w:t xml:space="preserve">den çıkabilecekleri ve gelecekte tutuklanmalarının mümkün olamayacağı yönündeki endişelerini dile getirmiştir. </w:t>
      </w:r>
      <w:r w:rsidR="008B4471">
        <w:t>“KKTC”</w:t>
      </w:r>
      <w:r w:rsidR="00F25813">
        <w:t xml:space="preserve"> Polis Genel Müdürü, bu şüphelilerin küçük suçlardan (araba hırsızlığı) tutuklandığını ve tutukluluk hallerinin </w:t>
      </w:r>
      <w:r w:rsidR="002321BC">
        <w:t>hâkim</w:t>
      </w:r>
      <w:r w:rsidR="00F25813">
        <w:t xml:space="preserve"> tarafından </w:t>
      </w:r>
      <w:r w:rsidR="003E39C6">
        <w:t>uzatılmasının</w:t>
      </w:r>
      <w:r w:rsidR="00F25813">
        <w:t xml:space="preserve"> mümkün olmadığını bildirmiştir. </w:t>
      </w:r>
      <w:r w:rsidR="008B4471">
        <w:t>“KKTC”</w:t>
      </w:r>
      <w:r w:rsidR="00F25813">
        <w:t xml:space="preserve"> makamları tutukluluk sürelerini uzatmaya çalışsalar da, şüphelileri cinayetle suçlayacak hiçbir delile sahip değillerdi. Şüpheliler cinayetlerle ilgili </w:t>
      </w:r>
      <w:r w:rsidR="009E3740">
        <w:t>hâlihazırda</w:t>
      </w:r>
      <w:r w:rsidR="00F25813">
        <w:t xml:space="preserve"> sorgulanmış ve bazı bilgiler vermiş olsalar da, bu yeterli değildi. Gönüllü ifade verilmemiştir. KKTC Emniyet Genel Müdürü, Kıdemli Polis Danışmanına Kıbrıs polisinin yeterli delile sahip olmadığını ve yalnızca iki polis teşkilatının işbirliği yaptığı takdirde daha fazla delilin elde edebileceğini söylemiştir. KKTC Emniyet Genel Müdürü, Kıdemli Polis Danışmanına ayrıca </w:t>
      </w:r>
      <w:r w:rsidR="00E562AE">
        <w:t>BMBG</w:t>
      </w:r>
      <w:r w:rsidR="00F25813">
        <w:t xml:space="preserve">'in yardımcı olup olmadığını ve nasıl yardım ettiğini sormuştur; Kıdemli Polis Danışmanı yalnızca taraflardan birinin resmi yardım talebinde bulunması halinde </w:t>
      </w:r>
      <w:r w:rsidR="00E562AE">
        <w:t>BMBG</w:t>
      </w:r>
      <w:r w:rsidR="00F25813">
        <w:t>'nin müdahale edebileceğini bildirmiştir.</w:t>
      </w:r>
    </w:p>
    <w:p w:rsidR="00F25813" w:rsidRPr="007C6A77" w:rsidRDefault="00BB2D2A" w:rsidP="00F25813">
      <w:pPr>
        <w:pStyle w:val="ECHRPara"/>
        <w:rPr>
          <w:color w:val="000000" w:themeColor="text1"/>
        </w:rPr>
      </w:pPr>
      <w:r w:rsidRPr="007C6A77">
        <w:fldChar w:fldCharType="begin"/>
      </w:r>
      <w:r w:rsidR="00F25813" w:rsidRPr="007C6A77">
        <w:instrText xml:space="preserve"> SEQ level0 \*arabic </w:instrText>
      </w:r>
      <w:r w:rsidRPr="007C6A77">
        <w:fldChar w:fldCharType="separate"/>
      </w:r>
      <w:r w:rsidR="00332D11">
        <w:rPr>
          <w:noProof/>
        </w:rPr>
        <w:t>109</w:t>
      </w:r>
      <w:r w:rsidRPr="007C6A77">
        <w:fldChar w:fldCharType="end"/>
      </w:r>
      <w:r w:rsidR="00F25813">
        <w:t>.  </w:t>
      </w:r>
      <w:bookmarkStart w:id="40" w:name="UNCYP4"/>
      <w:r w:rsidR="008B4471">
        <w:t>”KKTC”</w:t>
      </w:r>
      <w:r w:rsidR="00F25813">
        <w:t xml:space="preserve"> Emniyet Genel Müdürü, ortaya çıkmış ve gelecekte ortaya çıkabilecek sorunlarla ilgili endişelerini dile getirmiş ve iki polis teşkilatının bu gibi durumlarda işbirliği sağlamak için anlaşmaya varmalarını önermiştir. </w:t>
      </w:r>
      <w:r w:rsidR="008B4471">
        <w:t>“KKTC”</w:t>
      </w:r>
      <w:r w:rsidR="00F25813">
        <w:t xml:space="preserve"> Dışişleri Bakanı, siyasi sonuçlar (</w:t>
      </w:r>
      <w:r w:rsidR="00F25813">
        <w:rPr>
          <w:i/>
          <w:color w:val="000000" w:themeColor="text1"/>
        </w:rPr>
        <w:t>προεκτάσεις</w:t>
      </w:r>
      <w:r w:rsidR="00F25813">
        <w:t>) olmaksızın işbirliğini kolaylaştırmak için polis ve kamu güvenliği konularını Kıbrıs Dışişleri Bakanı ve diğer Kıbrıs polis teşkilatı mensuplarıyla görüşmeye hazırdı.</w:t>
      </w:r>
    </w:p>
    <w:bookmarkStart w:id="41" w:name="TRNCcannotextradite1"/>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110</w:t>
      </w:r>
      <w:r w:rsidRPr="007C6A77">
        <w:fldChar w:fldCharType="end"/>
      </w:r>
      <w:bookmarkEnd w:id="40"/>
      <w:bookmarkEnd w:id="41"/>
      <w:r w:rsidR="00F25813">
        <w:t>.  </w:t>
      </w:r>
      <w:bookmarkStart w:id="42" w:name="UNCYP5"/>
      <w:r w:rsidR="00E562AE">
        <w:t>BMBG</w:t>
      </w:r>
      <w:r w:rsidR="00F25813">
        <w:t xml:space="preserve"> irtibat görevlisi, şüphelilerin Türkiye'ye ve oradan da Kıbrıs Cumhuriyeti'ne iade edilebilmesi için Türkiye'nin de sürece </w:t>
      </w:r>
      <w:r w:rsidR="007F3C38">
        <w:t>dâhil</w:t>
      </w:r>
      <w:r w:rsidR="00F25813">
        <w:t xml:space="preserve"> olma olasılığının olup olmadığını sormuştur. </w:t>
      </w:r>
      <w:r w:rsidR="008B4471">
        <w:t>“KKTC”</w:t>
      </w:r>
      <w:r w:rsidR="00F25813">
        <w:t xml:space="preserve"> Emniyet Genel Müdürü bu soruyu olumsuz yanıtlamıştır; </w:t>
      </w:r>
      <w:r w:rsidR="008B4471">
        <w:t>“KKTC”</w:t>
      </w:r>
      <w:r w:rsidR="00F25813">
        <w:t xml:space="preserve"> makamlarının konuyu daha önce incelediği ancak mevzuatları izin vermediği için bir eylemde bulunamadıkları görülmüştür. </w:t>
      </w:r>
      <w:r w:rsidR="008B4471">
        <w:t>“KKTC”</w:t>
      </w:r>
      <w:r w:rsidR="00F25813">
        <w:t xml:space="preserve"> Emniyet Genel Müdürü, polisin şüphelileri tutuklayıp yargılayabilmesi için Kıbrıs polisinin delilleri </w:t>
      </w:r>
      <w:r w:rsidR="008B4471">
        <w:t>“KKTC”</w:t>
      </w:r>
      <w:r w:rsidR="00F25813">
        <w:t xml:space="preserve"> polisine teslim etmesini önermiştir. Eğer Kıbrıs polisi yetkili makamlarını deliller hakkında resmi olarak bilgilendirmiş ve dava hakkında bu delilleri ortaya koyup şüphelilerin resmi olarak iadesini istemiş olsaydı </w:t>
      </w:r>
      <w:r w:rsidR="008B4471">
        <w:t>“KKTC”</w:t>
      </w:r>
      <w:r w:rsidR="00F25813">
        <w:t xml:space="preserve"> makamları işbirliğinde bulunabilir ve muhtemelen iadelerini sağlayabilirdi. Şüphelilerden birinin Türkiye'de olduğu ancak cinayetlerle bağlantı</w:t>
      </w:r>
      <w:r w:rsidR="00310B88">
        <w:t>sı</w:t>
      </w:r>
      <w:r w:rsidR="00F25813">
        <w:t xml:space="preserve"> olmadığı gözükmektedir. </w:t>
      </w:r>
      <w:r w:rsidR="008B4471">
        <w:t>“KKTC”</w:t>
      </w:r>
      <w:r w:rsidR="00F25813">
        <w:t xml:space="preserve"> makamları da diğer kişileri cinayetlerle ilişkilendiren bilgiye sahiptiler.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111</w:t>
      </w:r>
      <w:r w:rsidRPr="007C6A77">
        <w:fldChar w:fldCharType="end"/>
      </w:r>
      <w:bookmarkEnd w:id="42"/>
      <w:r w:rsidR="00F25813">
        <w:t xml:space="preserve">.  Kıdemli Polis Danışmanına göre </w:t>
      </w:r>
      <w:r w:rsidR="008B4471">
        <w:t>“KKTC”</w:t>
      </w:r>
      <w:r w:rsidR="00F25813">
        <w:t xml:space="preserve"> makamları samimiydi ve işbirliği yapmak istemiş</w:t>
      </w:r>
      <w:r w:rsidR="00D65B86">
        <w:t>ti</w:t>
      </w:r>
      <w:r w:rsidR="00F25813">
        <w:t xml:space="preserve">. </w:t>
      </w:r>
      <w:r w:rsidRPr="009E3740">
        <w:t>Diğerlerinin yanı sıra</w:t>
      </w:r>
      <w:r w:rsidR="00F25813">
        <w:t>, suçluların sınır noktalarından geç</w:t>
      </w:r>
      <w:r w:rsidR="008A0900">
        <w:t>ip</w:t>
      </w:r>
      <w:r w:rsidR="00F25813">
        <w:t xml:space="preserve"> suç işlemesi ve ardından tutukla</w:t>
      </w:r>
      <w:r w:rsidR="008A0900">
        <w:t>n</w:t>
      </w:r>
      <w:r w:rsidR="00F25813">
        <w:t>ma ve cezalardan kaçmak için diğer tarafa geri dönmesi şeklinde</w:t>
      </w:r>
      <w:r w:rsidR="006D4EA0">
        <w:t>,</w:t>
      </w:r>
      <w:r w:rsidR="00F25813">
        <w:t xml:space="preserve"> daha fazla suçun </w:t>
      </w:r>
      <w:r w:rsidR="006D4EA0">
        <w:t>işlenebileceğine ilişkin</w:t>
      </w:r>
      <w:r w:rsidR="00F25813">
        <w:t xml:space="preserve"> endişelerini ifade etmiş</w:t>
      </w:r>
      <w:r w:rsidR="00D65B86">
        <w:t>tir</w:t>
      </w:r>
      <w:r w:rsidR="00F25813">
        <w:t xml:space="preserve">. </w:t>
      </w:r>
      <w:r w:rsidR="00E562AE">
        <w:t>BMBG</w:t>
      </w:r>
      <w:r w:rsidR="00F25813">
        <w:t xml:space="preserve">, Kıbrıs Hükümetinin nasıl hareket etmesi gerektiği konusunda tavsiyede bulunmaya ve cinayetleri </w:t>
      </w:r>
      <w:r w:rsidR="00A6439D">
        <w:t>soruşturmaya yardım etmek</w:t>
      </w:r>
      <w:r w:rsidR="00F25813">
        <w:t xml:space="preserve"> (</w:t>
      </w:r>
      <w:r w:rsidR="00F25813">
        <w:rPr>
          <w:i/>
        </w:rPr>
        <w:t>εξιχνιαστει</w:t>
      </w:r>
      <w:r w:rsidR="00F25813">
        <w:t xml:space="preserve">) </w:t>
      </w:r>
      <w:r w:rsidR="00A6439D">
        <w:t>amacıyla</w:t>
      </w:r>
      <w:r w:rsidR="00F25813">
        <w:t xml:space="preserve"> </w:t>
      </w:r>
      <w:r w:rsidR="00E562AE">
        <w:t>BMBG</w:t>
      </w:r>
      <w:r w:rsidR="00F25813">
        <w:t>'</w:t>
      </w:r>
      <w:r w:rsidR="00E562AE">
        <w:t>n</w:t>
      </w:r>
      <w:r w:rsidR="00F25813">
        <w:t xml:space="preserve">in nasıl müdahale edebileceğini </w:t>
      </w:r>
      <w:r w:rsidR="00A6439D">
        <w:t>anlamak</w:t>
      </w:r>
      <w:r w:rsidR="00F25813">
        <w:t xml:space="preserve"> için müzakerede bulunmaya hazırdı. Kıdemli Polis Danışmanı, bu menfur suçun failleri belirlenmiş olsa da siyasi bir sorun yüzünden özgür kaldıklarını haksız bulduğu için Interpol'ün müdahale edip edemeyeceğini Kıbrıs makamlarına sormuştur. </w:t>
      </w:r>
      <w:r w:rsidR="008B4471">
        <w:t>“KKTC”</w:t>
      </w:r>
      <w:r w:rsidR="00F25813">
        <w:t xml:space="preserve"> polisi, Birleşmiş Milletler (BM) tarafından olayla ilgili gelişmeler hakkında bilgilendirilme talebinde bulunmuş ve BM de bilgilendirme sözü vermiştir.</w:t>
      </w:r>
    </w:p>
    <w:p w:rsidR="00F25813" w:rsidRPr="007C6A77" w:rsidRDefault="00F25813" w:rsidP="00F25813">
      <w:pPr>
        <w:pStyle w:val="ECHRHeading4"/>
      </w:pPr>
      <w:r>
        <w:t>(c)</w:t>
      </w:r>
      <w:r>
        <w:tab/>
        <w:t xml:space="preserve">24 Ocak 2005 tarihli toplantı tutanaklarından  (Türkiye) </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112</w:t>
      </w:r>
      <w:r w:rsidRPr="007C6A77">
        <w:rPr>
          <w:rFonts w:eastAsiaTheme="minorHAnsi" w:cstheme="minorHAnsi"/>
          <w:szCs w:val="24"/>
        </w:rPr>
        <w:fldChar w:fldCharType="end"/>
      </w:r>
      <w:r w:rsidR="00F25813">
        <w:t xml:space="preserve">.  24 Ocak 2005 tarihinde, </w:t>
      </w:r>
      <w:r w:rsidR="008B4471">
        <w:t>“KKTC”</w:t>
      </w:r>
      <w:r w:rsidR="00F25813">
        <w:t xml:space="preserve"> Başbakanlık Özel Sekreteri, Kıdemli Polis Danışmanı, </w:t>
      </w:r>
      <w:r w:rsidR="00E562AE">
        <w:t>BMBG</w:t>
      </w:r>
      <w:r w:rsidR="00F25813">
        <w:t xml:space="preserve">'nin sivil işler birimi başkanı ve Kıbrıs Cumhuriyeti Cumhurbaşkanı temsilcisi gözaltında tutulan şüphelilere ilişkin bir toplantı düzenlemiştir. Toplantı tutanaklarına göre, </w:t>
      </w:r>
      <w:r w:rsidR="008B4471">
        <w:t>“KKTC”</w:t>
      </w:r>
      <w:r w:rsidR="00F25813">
        <w:t xml:space="preserve"> makamlarının, </w:t>
      </w:r>
      <w:r w:rsidR="008B4471">
        <w:t>“KKTC”</w:t>
      </w:r>
      <w:r w:rsidR="00F25813">
        <w:t xml:space="preserve">nin [de facto] tanınması anlamına geleceği bahanesiyle iletilmek istenmeyen Kıbrıs Rum makamlarının tatbik ettiği DNA testlerinin sonuçlarına ihtiyaçları vardı. </w:t>
      </w:r>
      <w:r w:rsidR="008B4471">
        <w:t>“KKTC”</w:t>
      </w:r>
      <w:r w:rsidR="00F25813">
        <w:t xml:space="preserve"> makamları, sonuçların </w:t>
      </w:r>
      <w:r w:rsidR="00E562AE">
        <w:t>BMBG</w:t>
      </w:r>
      <w:r w:rsidR="00F25813">
        <w:t xml:space="preserve"> aracılığıyla iletilebileceği önerisinde bulunmuştur. Cumhurbaşkanı temsilcisine 24 Ocak 2005 tarihli "resmi olmayan bir yazı" verilmiştir. Bu yazıda şunlar ifade edilmiştir:</w:t>
      </w:r>
    </w:p>
    <w:p w:rsidR="00F25813" w:rsidRPr="007C6A77" w:rsidRDefault="00F25813" w:rsidP="00A936F2">
      <w:pPr>
        <w:pStyle w:val="ECHRParaQuote"/>
      </w:pPr>
      <w:r>
        <w:t>‘’Kıbrıs Anayasasına göre (madde 159), Kıbrıs Türkleriyle sınırlı olan her dava Kıbrıs Türk mahkemeleri tarafından ele alınmalıdır.</w:t>
      </w:r>
    </w:p>
    <w:p w:rsidR="00F25813" w:rsidRPr="007C6A77" w:rsidRDefault="00F25813" w:rsidP="00A936F2">
      <w:pPr>
        <w:pStyle w:val="ECHRParaQuote"/>
      </w:pPr>
      <w:r>
        <w:t xml:space="preserve">Elmas Güzelyurtlu ve ailesinin öldürülmesi davasında tüm şüpheliler Kıbrıs Türküdür; bu nedenle, davaya Kıbrıs Türk mahkemeleri tarafından Kıbrıs Türkü </w:t>
      </w:r>
      <w:r w:rsidR="00711D42">
        <w:t>hâkimler</w:t>
      </w:r>
      <w:r>
        <w:t xml:space="preserve"> tarafından bakılması gerekmektedir.</w:t>
      </w:r>
    </w:p>
    <w:p w:rsidR="00F25813" w:rsidRPr="007C6A77" w:rsidRDefault="00F25813" w:rsidP="00A936F2">
      <w:pPr>
        <w:pStyle w:val="ECHRParaQuote"/>
      </w:pPr>
      <w:r>
        <w:t>Sözkonusu olay Kıbrıs Rum tarafında gerçekleştiğinden ve tüm deliller Kıbrıs Rum polisi tarafından başarıyla toplandığından, adaletin sağlanması için işbirliği gerekmektedir.</w:t>
      </w:r>
    </w:p>
    <w:p w:rsidR="00F25813" w:rsidRPr="007C6A77" w:rsidRDefault="00F25813" w:rsidP="00A936F2">
      <w:pPr>
        <w:pStyle w:val="ECHRParaQuote"/>
      </w:pPr>
      <w:r>
        <w:t>Bu acil bir durumdur, bu nedenle derhal birlikte hareket etmeliyiz. İlk adım olarak, dava süresince zanlıların gözaltında tutulmasına yönelik bir mahkeme kararı çıkartmak için DNA analizine ilişkin raporlara ihtiyaç duyulmaktadır.</w:t>
      </w:r>
    </w:p>
    <w:p w:rsidR="00F25813" w:rsidRDefault="00F25813" w:rsidP="00A936F2">
      <w:pPr>
        <w:pStyle w:val="ECHRParaQuote"/>
      </w:pPr>
      <w:r>
        <w:t>Bu insani bir meseledir ve tamamen siyasi kaygılardan uzaktır. Siyasi kaygılar, adaletin yerini bulmasına mani olmamalıdır.”</w:t>
      </w:r>
    </w:p>
    <w:p w:rsidR="00F25813" w:rsidRPr="007C6A77" w:rsidRDefault="00D048F8" w:rsidP="00F25813">
      <w:pPr>
        <w:pStyle w:val="ECHRHeading4"/>
      </w:pPr>
      <w:r>
        <w:t xml:space="preserve"> </w:t>
      </w:r>
      <w:r w:rsidR="00F25813">
        <w:t>(d)</w:t>
      </w:r>
      <w:r w:rsidR="00F25813">
        <w:tab/>
        <w:t>24 Ocak 2005 tarihli Kıbrıs Cumhurbaşkanlığı Diplomatik Ofisinden Kıdemli Polis Danışmanına gönderilen mektup</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113</w:t>
      </w:r>
      <w:r w:rsidRPr="007C6A77">
        <w:rPr>
          <w:rFonts w:eastAsiaTheme="minorHAnsi" w:cstheme="minorHAnsi"/>
          <w:szCs w:val="24"/>
        </w:rPr>
        <w:fldChar w:fldCharType="end"/>
      </w:r>
      <w:r w:rsidR="00F25813">
        <w:t xml:space="preserve">.  Bu mektup, Kıbrıs Hükümetinin şüphelileri adalete teslim etme kararlılığını teyit etmiştir. Kıbrıs makamları yeterli delil toplamıştır ve </w:t>
      </w:r>
      <w:r w:rsidR="00E562AE">
        <w:t>BMBG</w:t>
      </w:r>
      <w:r w:rsidR="00F25813">
        <w:t>'den şüphelilerin ve delil niteliğindeki materyallerin Kıbrıs makamlarına teslim edilmesinin kolaylaştırmasını talep etmiştir. Mektup Kıbrıs polisinin, şüphelilerin dördüne ilişkin, Interpol Genel Sekreterliğine ve Interpol'ün tüm üye ülkelerine gönderilen uluslararası tutuklama müzekkeresi çıkardığını belirtmiştir. Kıbrıs polisi, beşinci şüpheli için uluslararası tutuklama müzekkeresi çıkarma sürecine girmiştir.</w:t>
      </w:r>
    </w:p>
    <w:p w:rsidR="00F25813" w:rsidRPr="007C6A77" w:rsidRDefault="00F25813" w:rsidP="00F25813">
      <w:pPr>
        <w:pStyle w:val="ECHRHeading4"/>
      </w:pPr>
      <w:r>
        <w:t>25 Ocak 2005 tarihli İç Yazışma (Kıbrıs)</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114</w:t>
      </w:r>
      <w:r w:rsidRPr="007C6A77">
        <w:rPr>
          <w:rFonts w:eastAsiaTheme="minorHAnsi" w:cstheme="minorHAnsi"/>
          <w:szCs w:val="24"/>
        </w:rPr>
        <w:fldChar w:fldCharType="end"/>
      </w:r>
      <w:r w:rsidR="00F25813">
        <w:t xml:space="preserve">.  Sözkonusu yazışmada, </w:t>
      </w:r>
      <w:r w:rsidR="008B4471">
        <w:t>“KKTC”</w:t>
      </w:r>
      <w:r w:rsidR="00F25813">
        <w:t xml:space="preserve"> Başsavcısının </w:t>
      </w:r>
      <w:r w:rsidR="00E562AE">
        <w:t>BMBG</w:t>
      </w:r>
      <w:r w:rsidR="00F25813">
        <w:t xml:space="preserve">'ye, </w:t>
      </w:r>
      <w:r w:rsidR="008B4471">
        <w:t>“KKTC”</w:t>
      </w:r>
      <w:r w:rsidR="00F25813">
        <w:t xml:space="preserve"> de cinayetlerden tutuklanan üç şüpheliyi Kıbrıs polisine teslim etme niyetinde olmadığını bildirdiği belirtilmiştir. Diğerlerinin yanı sıra, 1960 Kıbrıs Anayasasına (Madde 159 (2)) dayanarak suçlanan kişiyi Kıbrıs’a tevdi etmenin yasal veya anayasal bir temeli olmadığını belirtmiştir. </w:t>
      </w:r>
      <w:r w:rsidR="008B4471">
        <w:t>“KKTC”</w:t>
      </w:r>
      <w:r w:rsidR="00F25813">
        <w:t xml:space="preserve"> Başsavcısı </w:t>
      </w:r>
      <w:r w:rsidR="00E562AE">
        <w:t>BMBG</w:t>
      </w:r>
      <w:r w:rsidR="00F25813">
        <w:t>'ye bu durumu bildirmiştir.</w:t>
      </w:r>
    </w:p>
    <w:p w:rsidR="00F25813" w:rsidRPr="007C6A77" w:rsidRDefault="00F25813" w:rsidP="00F25813">
      <w:pPr>
        <w:pStyle w:val="ECHRHeading4"/>
      </w:pPr>
      <w:r>
        <w:t>(f)</w:t>
      </w:r>
      <w:r>
        <w:tab/>
        <w:t>25 Ocak 2005 tarihli polis raporu (Kıbrıs)</w:t>
      </w:r>
    </w:p>
    <w:p w:rsidR="00F25813" w:rsidRPr="007C6A77" w:rsidRDefault="00BB2D2A" w:rsidP="00F25813">
      <w:pPr>
        <w:pStyle w:val="ECHRPara"/>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115</w:t>
      </w:r>
      <w:r w:rsidRPr="007C6A77">
        <w:rPr>
          <w:rFonts w:eastAsiaTheme="minorHAnsi" w:cstheme="minorHAnsi"/>
          <w:szCs w:val="24"/>
        </w:rPr>
        <w:fldChar w:fldCharType="end"/>
      </w:r>
      <w:r w:rsidR="00F25813">
        <w:t xml:space="preserve">.  Bahsekonu raporda, Kıdemli Polis Danışmanının </w:t>
      </w:r>
      <w:r w:rsidR="008B4471">
        <w:t>“KKTC”</w:t>
      </w:r>
      <w:r w:rsidR="00F25813">
        <w:t xml:space="preserve"> Polis Genel Müdürü ile aynı gün görüştükten sonra, Lefkoşa Polis Müdürlüğünde polisle görüştüğü belirtilmiştir. Polis Genel Müdürü, </w:t>
      </w:r>
      <w:r w:rsidR="00E562AE">
        <w:t>BMBG</w:t>
      </w:r>
      <w:r w:rsidR="00F25813">
        <w:t xml:space="preserve"> tarafından seçilen tarafsız topraklarda Kıbrıs polisi ile gizli bir toplantı düzenlenmesini, </w:t>
      </w:r>
      <w:r w:rsidR="00F25813">
        <w:rPr>
          <w:rStyle w:val="JuParaCar"/>
        </w:rPr>
        <w:t>böylece meselenin siyasi manipülasyon konusu haline gelmemesini</w:t>
      </w:r>
      <w:r w:rsidR="00F25813">
        <w:t xml:space="preserve"> önermiştir.</w:t>
      </w:r>
      <w:r w:rsidR="00F25813">
        <w:rPr>
          <w:rStyle w:val="JuParaCar"/>
        </w:rPr>
        <w:t xml:space="preserve"> </w:t>
      </w:r>
      <w:r w:rsidR="008B4471">
        <w:t>“KKTC”</w:t>
      </w:r>
      <w:r w:rsidR="00F25813">
        <w:t xml:space="preserve"> Başsavcısı böyle bir toplantının gerçekleşmesine onay vermiştir. </w:t>
      </w:r>
      <w:r w:rsidR="008B4471">
        <w:rPr>
          <w:rStyle w:val="JuParaCar"/>
        </w:rPr>
        <w:t>“KKTC”</w:t>
      </w:r>
      <w:r w:rsidR="00F25813">
        <w:rPr>
          <w:rStyle w:val="JuParaCar"/>
        </w:rPr>
        <w:t xml:space="preserve"> Polis Genel Müdürüne </w:t>
      </w:r>
      <w:r w:rsidR="00F25813">
        <w:t>göre,</w:t>
      </w:r>
      <w:r w:rsidR="00F25813">
        <w:rPr>
          <w:rStyle w:val="JuParaCar"/>
        </w:rPr>
        <w:t xml:space="preserve"> daha fazla şüpheli bulunma ihtimali vardır ve ilk başvuran, iddia edilen beşinci şüphelinin yanlış fotoğrafı da </w:t>
      </w:r>
      <w:r w:rsidR="007F3C38">
        <w:rPr>
          <w:rStyle w:val="JuParaCar"/>
        </w:rPr>
        <w:t>dâhil</w:t>
      </w:r>
      <w:r w:rsidR="00F25813">
        <w:rPr>
          <w:rStyle w:val="JuParaCar"/>
        </w:rPr>
        <w:t xml:space="preserve"> olmak üzere, Kıbrıs Polisine yanlış bilgi vermiştir</w:t>
      </w:r>
      <w:r w:rsidR="00F25813">
        <w:t>.</w:t>
      </w:r>
      <w:r w:rsidR="00F25813">
        <w:rPr>
          <w:rStyle w:val="JuParaCar"/>
        </w:rPr>
        <w:t xml:space="preserve"> İlk adım olarak, </w:t>
      </w:r>
      <w:r w:rsidR="00F25813">
        <w:t xml:space="preserve"> </w:t>
      </w:r>
      <w:r w:rsidR="008B4471">
        <w:t>“KKTC”</w:t>
      </w:r>
      <w:r w:rsidR="00F25813">
        <w:t xml:space="preserve"> Polis Genel Müdürü soruşturmaya her iki taraftan da aynı rütbede eşit sayıda polis memurunun katılmasını ve şüphelilerin fotoğrafları ve parmak izleri ve genetik bilgiler içeren örnekler gibi suçun aydınlatılmasına yardımcı olabilecek toplanan tüm delilleri sunmayı önermiştir. Polis Genel Müdürü ayrıca, şüphelilerin tutukluluklarının devamını sağlamak için </w:t>
      </w:r>
      <w:r w:rsidR="008B4471">
        <w:t>“KKTC”</w:t>
      </w:r>
      <w:r w:rsidR="00F25813">
        <w:t xml:space="preserve"> makamlarının, şüphelileri dava ile ilişkilendiren DNA testlerinin sonuçlarının ellerinde olmasını isteyeceğini belirtmiştir. İkinci adım olarak </w:t>
      </w:r>
      <w:r w:rsidR="008B4471">
        <w:t>“KKTC”</w:t>
      </w:r>
      <w:r w:rsidR="00F25813">
        <w:t xml:space="preserve"> Polis Genel Müdürü, </w:t>
      </w:r>
      <w:r w:rsidR="008B4471">
        <w:t>“KKTC”</w:t>
      </w:r>
      <w:r w:rsidR="00F25813">
        <w:t xml:space="preserve"> makamlarının kendi veri tabanında bulunan bilgilerle karşılaştırabilmesi için </w:t>
      </w:r>
      <w:r w:rsidR="008B4471">
        <w:t>“KKTC”</w:t>
      </w:r>
      <w:r w:rsidR="00F25813">
        <w:t xml:space="preserve"> polisine balistik delilleriyle ilgili bilgi verilmesini önermiştir. Kıdemli Polis Danışmanı, konu herhangi bir siyasi çıkarıma sebebiyet vermeden bu aşamada davanın soruşturmasıyla sınırlı olacağı için, herhangi bir toplantıda hangi tarafın şüphelileri adalete teslim edeceğine ilişkin bir görüşme yapılmayacağını belirtmiştir. Bu konu daha sonra siyasi düzeyde tartışılabilir. Kıbrıs polisi, böyle bir toplantının yarar</w:t>
      </w:r>
      <w:r w:rsidR="008D673C">
        <w:t>ına</w:t>
      </w:r>
      <w:r w:rsidR="00F25813">
        <w:t xml:space="preserve"> ve sonuçlarına ilişkin tereddütlerini dile getirmiştir. Kıdemli Polis Danışmanına Polis Genel Müdürünün konuyla ilgili kararını bildirme görevini üstlenmiştir.</w:t>
      </w:r>
    </w:p>
    <w:p w:rsidR="00F25813" w:rsidRPr="007C6A77" w:rsidRDefault="00F25813" w:rsidP="00F25813">
      <w:pPr>
        <w:pStyle w:val="ECHRHeading4"/>
      </w:pPr>
      <w:r>
        <w:t>(g)</w:t>
      </w:r>
      <w:r>
        <w:tab/>
        <w:t>25 Ocak 2005 tarihli toplantı tutanaklarından (Türkiye)</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116</w:t>
      </w:r>
      <w:r w:rsidRPr="007C6A77">
        <w:fldChar w:fldCharType="end"/>
      </w:r>
      <w:r w:rsidR="00F25813">
        <w:t xml:space="preserve">.  Kıdemli Polis Danışmanı ile </w:t>
      </w:r>
      <w:r w:rsidR="008B4471">
        <w:t>“KKTC”</w:t>
      </w:r>
      <w:r w:rsidR="00F25813">
        <w:t xml:space="preserve"> Polis Genel Müdürü arasında 25 Ocak 2005 tarihinde gerçekleşen toplantı, Türk Hükümeti tarafından sunulan tutanaklara da yansımıştır. Bu tutanaklara göre, Elmas Güzelyurtlu tüm Kıbrıs tarafından tanınmaktadır ve pek çok suçun şüphelisidir; bu suçların bazılarına şüpheliler de iştirak etmiştir. Kıbrıs polisinin elindeki bilgiler şüphelilere ilişkin tutuklama müzekkeresi çıkarılması için yeterli olmuştur. </w:t>
      </w:r>
      <w:r w:rsidR="008B4471">
        <w:t>“KKTC”</w:t>
      </w:r>
      <w:r w:rsidR="00F25813">
        <w:t xml:space="preserve"> polisinin bu müzekkereleri </w:t>
      </w:r>
      <w:r w:rsidR="009E3740">
        <w:t>hâlihazırda</w:t>
      </w:r>
      <w:r w:rsidR="00F25813">
        <w:t xml:space="preserve"> çıkarmasına rağmen, şüphelilere dava açacak delilleri bulunmamaktadır ve daha fazla bilgiye ihtiyacı vardır. Kıdemli Polis Danışmanı önerilerde bulunulmasını istemiştir.</w:t>
      </w:r>
    </w:p>
    <w:p w:rsidR="00F25813" w:rsidRPr="007C6A77" w:rsidRDefault="00F25813" w:rsidP="00F25813">
      <w:pPr>
        <w:pStyle w:val="ECHRHeading4"/>
      </w:pPr>
      <w:r>
        <w:t>(h)</w:t>
      </w:r>
      <w:r>
        <w:tab/>
        <w:t>26 Ocak 2005 tarihli toplantı tutanaklarından (Türkiye)</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117</w:t>
      </w:r>
      <w:r w:rsidRPr="007C6A77">
        <w:rPr>
          <w:rFonts w:eastAsiaTheme="minorHAnsi" w:cstheme="minorHAnsi"/>
          <w:szCs w:val="24"/>
        </w:rPr>
        <w:fldChar w:fldCharType="end"/>
      </w:r>
      <w:r w:rsidR="00F25813">
        <w:t xml:space="preserve">.  26 Ocak 2005 tarihin </w:t>
      </w:r>
      <w:r w:rsidR="00E562AE">
        <w:t>BMBG</w:t>
      </w:r>
      <w:r w:rsidR="00F25813">
        <w:t xml:space="preserve"> yetkilileri ile </w:t>
      </w:r>
      <w:r w:rsidR="008B4471">
        <w:t>“KKTC”</w:t>
      </w:r>
      <w:r w:rsidR="00F25813">
        <w:t xml:space="preserve"> yetkilileri arasında, </w:t>
      </w:r>
      <w:r w:rsidR="008B4471">
        <w:t>“KKTC”</w:t>
      </w:r>
      <w:r w:rsidR="00F25813">
        <w:t xml:space="preserve"> Başbakan Yardımcısının da bulunduğu bir toplantı yapılmıştır. Tutanaklara göre </w:t>
      </w:r>
      <w:r w:rsidR="008B4471">
        <w:t>“KKTC”</w:t>
      </w:r>
      <w:r w:rsidR="00F25813">
        <w:t xml:space="preserve"> Başbakan Yardımcısı, Kıbrıs makamlarının delilleri iletmesi halinde, şüphelilerin tutukluluklarının uzatılacağını; sonrasında </w:t>
      </w:r>
      <w:r w:rsidR="008B4471">
        <w:t>“KKTC”</w:t>
      </w:r>
      <w:r w:rsidR="00F25813">
        <w:t xml:space="preserve"> mahkemelerinin delilleri güvenilir bulması halinde, şüphelilerin </w:t>
      </w:r>
      <w:r w:rsidR="00E562AE">
        <w:t>BMBG</w:t>
      </w:r>
      <w:r w:rsidR="00F25813">
        <w:t xml:space="preserve"> aracılığıyla Kıbrıs Cumhuriyeti’ne teslim edileceğini dile getirmiştir.</w:t>
      </w:r>
    </w:p>
    <w:p w:rsidR="00F25813" w:rsidRPr="007C6A77" w:rsidRDefault="00F25813" w:rsidP="00F25813">
      <w:pPr>
        <w:pStyle w:val="ECHRHeading4"/>
      </w:pPr>
      <w:r>
        <w:t>(d)</w:t>
      </w:r>
      <w:r>
        <w:tab/>
        <w:t>31 Ocak 2005 tarihli toplantı tutanaklarından (Türkiye)</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118</w:t>
      </w:r>
      <w:r w:rsidRPr="007C6A77">
        <w:rPr>
          <w:rFonts w:eastAsiaTheme="minorHAnsi" w:cstheme="minorHAnsi"/>
          <w:szCs w:val="24"/>
        </w:rPr>
        <w:fldChar w:fldCharType="end"/>
      </w:r>
      <w:r w:rsidR="008B4471">
        <w:t>.  31 Ocak 2005 tarihinde</w:t>
      </w:r>
      <w:r w:rsidR="00F25813">
        <w:t xml:space="preserve"> </w:t>
      </w:r>
      <w:r w:rsidR="00E562AE">
        <w:t>BMBG</w:t>
      </w:r>
      <w:r w:rsidR="00F25813">
        <w:t xml:space="preserve"> ve </w:t>
      </w:r>
      <w:r w:rsidR="008B4471">
        <w:t>“KKTC”</w:t>
      </w:r>
      <w:r w:rsidR="00F25813">
        <w:t xml:space="preserve"> yetkilileri arasında bir başka toplantı daha düzenlenmiştir. Tutanaklara göre </w:t>
      </w:r>
      <w:r w:rsidR="00E562AE">
        <w:t>BMBG</w:t>
      </w:r>
      <w:r w:rsidR="00F25813">
        <w:t xml:space="preserve"> yetkilileri, </w:t>
      </w:r>
      <w:r w:rsidR="008B4471">
        <w:t>“KKTC”</w:t>
      </w:r>
      <w:r w:rsidR="00F25813">
        <w:t xml:space="preserve">de tutuklanan üç şüpheliye ilişkin Interpol'ün Kırmızı Bültenlerini sunmuştur. </w:t>
      </w:r>
      <w:r w:rsidR="00E562AE">
        <w:t>BMBG</w:t>
      </w:r>
      <w:r w:rsidR="00F25813">
        <w:t xml:space="preserve"> yetkilileri, Kıbrıs makamlarının şüphelilerin DNA test sonuçlarını paylaşmaya isteksiz olduklarını ve </w:t>
      </w:r>
      <w:r w:rsidR="008B4471">
        <w:t>“KKTC”</w:t>
      </w:r>
      <w:r w:rsidR="00F25813">
        <w:t xml:space="preserve"> ile işbirliği yapmak istemediklerini belirtmiştir.</w:t>
      </w:r>
    </w:p>
    <w:p w:rsidR="00F25813" w:rsidRPr="007C6A77" w:rsidRDefault="00F25813" w:rsidP="00F25813">
      <w:pPr>
        <w:pStyle w:val="ECHRHeading4"/>
      </w:pPr>
      <w:r>
        <w:t>(f)</w:t>
      </w:r>
      <w:r>
        <w:tab/>
        <w:t>7 Şubat 2005 tarihli toplantı tutanaklarından (Türkiye)</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119</w:t>
      </w:r>
      <w:r w:rsidRPr="007C6A77">
        <w:rPr>
          <w:rFonts w:eastAsiaTheme="minorHAnsi" w:cstheme="minorHAnsi"/>
          <w:szCs w:val="24"/>
        </w:rPr>
        <w:fldChar w:fldCharType="end"/>
      </w:r>
      <w:r w:rsidR="00F25813">
        <w:t xml:space="preserve">.  7 Şubat 2005 tarihinde yapılan bir toplantıda, </w:t>
      </w:r>
      <w:r w:rsidR="00E562AE">
        <w:t>BMBG</w:t>
      </w:r>
      <w:r w:rsidR="00F25813">
        <w:t xml:space="preserve"> yetkilileri ve </w:t>
      </w:r>
      <w:r w:rsidR="008B4471">
        <w:t>“KKTC”</w:t>
      </w:r>
      <w:r w:rsidR="00F25813">
        <w:t xml:space="preserve"> Başbakanı, Kıbrıs makamlarının işbirliği yapma konusundaki isteksizliklerini görüşmüştür.</w:t>
      </w:r>
    </w:p>
    <w:p w:rsidR="00F25813" w:rsidRPr="007C6A77" w:rsidRDefault="00F25813" w:rsidP="00F25813">
      <w:pPr>
        <w:pStyle w:val="ECHRHeading4"/>
      </w:pPr>
      <w:r>
        <w:t>(h)</w:t>
      </w:r>
      <w:r>
        <w:tab/>
        <w:t xml:space="preserve"> 18 Şubat 2005 tarihli toplantı tutanaklarından (Türkiye)</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120</w:t>
      </w:r>
      <w:r w:rsidRPr="007C6A77">
        <w:rPr>
          <w:rFonts w:eastAsiaTheme="minorHAnsi" w:cstheme="minorHAnsi"/>
          <w:szCs w:val="24"/>
        </w:rPr>
        <w:fldChar w:fldCharType="end"/>
      </w:r>
      <w:r w:rsidR="00F25813">
        <w:t xml:space="preserve">.  18 Şubat 2005 tarihinde, </w:t>
      </w:r>
      <w:r w:rsidR="00E562AE">
        <w:t>BMBG</w:t>
      </w:r>
      <w:r w:rsidR="00F25813">
        <w:t xml:space="preserve"> sivil işler birimi başkanı ile </w:t>
      </w:r>
      <w:r w:rsidR="008B4471">
        <w:t>“KKTC”</w:t>
      </w:r>
      <w:r w:rsidR="00F25813">
        <w:t xml:space="preserve"> Dışişleri Bakanlığı Müsteşarı arasında bir toplantı düzenlenmiştir. </w:t>
      </w:r>
      <w:r w:rsidR="00E562AE">
        <w:t>BMBG</w:t>
      </w:r>
      <w:r w:rsidR="00F25813">
        <w:t xml:space="preserve"> sivil işler birimi başkanı Kıbrıs makamlarının </w:t>
      </w:r>
      <w:r w:rsidR="008B4471">
        <w:t>“KKTC”</w:t>
      </w:r>
      <w:r w:rsidR="00F25813">
        <w:t xml:space="preserve"> ile olan işbirliğine ilişkin tutumlarının değiştiğini ve delilleri </w:t>
      </w:r>
      <w:r w:rsidR="00E562AE">
        <w:t>BMBG</w:t>
      </w:r>
      <w:r w:rsidR="00F25813">
        <w:t xml:space="preserve"> aracılığıyla göndermeyi planladıklarını belirtmiştir. Başkan, Müsteşara şüphelilerin yeniden tutuklanıp tutuklanamayacağını ve </w:t>
      </w:r>
      <w:r w:rsidR="00E562AE">
        <w:t>BMBG</w:t>
      </w:r>
      <w:r w:rsidR="00F25813">
        <w:t xml:space="preserve"> aracılığıyla Kıbrıs makamlarına teslim edilip edilmeyeceğini de sormuştur. Müsteşar cevaben, 1960 anlaşmaları uyarınca şüphelilerin Türk olması halinde, bir Kıbrıs Türk mahkemesinde yargılanması gerektiğini iletmiştir.</w:t>
      </w:r>
    </w:p>
    <w:p w:rsidR="00F25813" w:rsidRPr="007C6A77" w:rsidRDefault="00F25813" w:rsidP="00F25813">
      <w:pPr>
        <w:pStyle w:val="ECHRHeading4"/>
      </w:pPr>
      <w:r>
        <w:t>(l)  Kıbrıs Cumhuriyeti Cumhurbaşkanı Diplomatik Ofisi Müdüründen Avrupa Birliği Kıbrıs Baş</w:t>
      </w:r>
      <w:r w:rsidR="00363FFB">
        <w:t xml:space="preserve"> M</w:t>
      </w:r>
      <w:r>
        <w:t>üzakerecisine gönderilen 7 Mart 2005 tarihli e-posta</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121</w:t>
      </w:r>
      <w:r w:rsidRPr="007C6A77">
        <w:fldChar w:fldCharType="end"/>
      </w:r>
      <w:r w:rsidR="00F25813">
        <w:t xml:space="preserve">.  Bu e-postaya göre, Kıbrıs makamları bu süre zarfında, mevcut davadaki şüphelilerin teslim edilmesi ile ilgili arabuluculuğunu kolaylaştırmak için </w:t>
      </w:r>
      <w:r w:rsidR="00E562AE">
        <w:t>BMBG</w:t>
      </w:r>
      <w:r w:rsidR="00F25813">
        <w:t xml:space="preserve">'ye Kıbrıs Nöroloji ve Genetik Enstitüsü Adli Genetik Laboratuvarı tarafından hazırlanan geçici bir rapor iletmiştir. Bir telefon görüşmesine yönelik iç yazışmaya göre </w:t>
      </w:r>
      <w:r w:rsidR="00E562AE">
        <w:t>BMBG</w:t>
      </w:r>
      <w:r w:rsidR="00F25813">
        <w:t xml:space="preserve">, Diplomatik Ofise yukarıda belirtilen raporun, içerdiği delilleri yetersiz bulan </w:t>
      </w:r>
      <w:r w:rsidR="008B4471">
        <w:t>“KKTC”</w:t>
      </w:r>
      <w:r w:rsidR="00F25813">
        <w:t xml:space="preserve"> makamlarına iletildiğini bilahare bildirmiştir. </w:t>
      </w:r>
      <w:r w:rsidR="008B4471">
        <w:t>“KKTC”</w:t>
      </w:r>
      <w:r w:rsidR="00F25813">
        <w:t xml:space="preserve"> makamları video</w:t>
      </w:r>
      <w:r w:rsidR="00064E40">
        <w:t xml:space="preserve"> </w:t>
      </w:r>
      <w:r w:rsidR="00F25813">
        <w:t>kasetleri istemiş ancak bu kasetlerin kendilerine verilmesi halinde şüphelilerin teslim edilip edilmeyeceğini açıklığa kavuşturmamıştır.</w:t>
      </w:r>
    </w:p>
    <w:p w:rsidR="00F25813" w:rsidRPr="007C6A77" w:rsidRDefault="00F25813" w:rsidP="00F25813">
      <w:pPr>
        <w:pStyle w:val="ECHRHeading4"/>
      </w:pPr>
      <w:r>
        <w:t>(m)</w:t>
      </w:r>
      <w:r>
        <w:tab/>
        <w:t xml:space="preserve"> 30 Mart 2005 tarihli telefon görülmesi tutanaklarından (Türkiye)</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122</w:t>
      </w:r>
      <w:r w:rsidRPr="007C6A77">
        <w:rPr>
          <w:rFonts w:eastAsiaTheme="minorHAnsi" w:cstheme="minorHAnsi"/>
          <w:szCs w:val="24"/>
        </w:rPr>
        <w:fldChar w:fldCharType="end"/>
      </w:r>
      <w:r w:rsidR="00F25813">
        <w:t xml:space="preserve">.  30 Mart 2005 tarihinde, </w:t>
      </w:r>
      <w:r w:rsidR="00E562AE">
        <w:t>BMBG</w:t>
      </w:r>
      <w:r w:rsidR="00F25813">
        <w:t xml:space="preserve"> sivil işler birimi başkanı, </w:t>
      </w:r>
      <w:r w:rsidR="008B4471">
        <w:t>“KKTC”</w:t>
      </w:r>
      <w:r w:rsidR="00F25813">
        <w:t xml:space="preserve"> Konsolosluk İşleri Başkanı ile telefon görüşmesi yapmıştır. </w:t>
      </w:r>
      <w:r w:rsidR="00E562AE">
        <w:t>BMBG</w:t>
      </w:r>
      <w:r w:rsidR="00F25813">
        <w:t xml:space="preserve"> sivil işler birimi başkanı, Kıbrıs Cumhuriyeti mahkemelerinin İngiliz Egemen Üssü bölgelerinde bulunabileceğini belirtmiş ve duruşmanın burada gerçekleşebileceğini önermiştir. Konsolosluk İşleri Başkanı, </w:t>
      </w:r>
      <w:r w:rsidR="008B4471">
        <w:t>“KKTC”</w:t>
      </w:r>
      <w:r w:rsidR="00F25813">
        <w:t xml:space="preserve"> makamlarının delil ve kayıtlar kendilerine teslim edilene kadar herhangi bir adım atmayı planlamadığını, çünkü </w:t>
      </w:r>
      <w:r w:rsidR="008B4471">
        <w:t>“KKTC”</w:t>
      </w:r>
      <w:r w:rsidR="00F25813">
        <w:t xml:space="preserve"> makamları için Kıbrıs makamlarının bu konuda yalnız çalışmasının kabul edilemez olduğunu ifade etmiştir.</w:t>
      </w:r>
    </w:p>
    <w:p w:rsidR="00F25813" w:rsidRPr="007C6A77" w:rsidRDefault="00F25813" w:rsidP="00F25813">
      <w:pPr>
        <w:pStyle w:val="ECHRHeading4"/>
      </w:pPr>
      <w:r>
        <w:t>(n)</w:t>
      </w:r>
      <w:r>
        <w:tab/>
        <w:t xml:space="preserve"> 5 Nisan 2005 tarihli toplantı tutanaklarından (Türkiye)</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123</w:t>
      </w:r>
      <w:r w:rsidRPr="007C6A77">
        <w:rPr>
          <w:rFonts w:eastAsiaTheme="minorHAnsi" w:cstheme="minorHAnsi"/>
          <w:szCs w:val="24"/>
        </w:rPr>
        <w:fldChar w:fldCharType="end"/>
      </w:r>
      <w:r w:rsidR="00F25813">
        <w:t xml:space="preserve">.  5 Nisan 2005 tarihinde </w:t>
      </w:r>
      <w:r w:rsidR="00E562AE">
        <w:t>BMBG</w:t>
      </w:r>
      <w:r w:rsidR="00F25813">
        <w:t xml:space="preserve"> yetkilileri, kendilerine verilen DNA sonuçlarının yeterli olmadığını ve polis soruşturması kayıtları ve güvenlik kamerası kayıtları gibi daha somut kanıtlara ihtiyaç duyduklarını belirten </w:t>
      </w:r>
      <w:r w:rsidR="008B4471">
        <w:t>“KKTC”</w:t>
      </w:r>
      <w:r w:rsidR="00F25813">
        <w:t xml:space="preserve"> Konsolosluk İşleri Başkanı ile genel bir toplantı yapmıştır. </w:t>
      </w:r>
      <w:r w:rsidR="00E562AE">
        <w:t>BMBG</w:t>
      </w:r>
      <w:r w:rsidR="00F25813">
        <w:t xml:space="preserve"> sivil işler birimi başkanı, bu konuyu Kıbrıs tarafıyla görüşeceğine söz vermiştir.</w:t>
      </w:r>
    </w:p>
    <w:p w:rsidR="00F25813" w:rsidRPr="007C6A77" w:rsidRDefault="00F25813" w:rsidP="00F25813">
      <w:pPr>
        <w:pStyle w:val="ECHRHeading4"/>
      </w:pPr>
      <w:r>
        <w:t>(O)  Kıdemli Polis Danışmanından başvura</w:t>
      </w:r>
      <w:r w:rsidR="0027797B">
        <w:t>n</w:t>
      </w:r>
      <w:r>
        <w:t>ların temsilcilerine gönderilen 23 Şubat 2006 tarihli mektup</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124</w:t>
      </w:r>
      <w:r w:rsidRPr="007C6A77">
        <w:rPr>
          <w:rFonts w:eastAsiaTheme="minorHAnsi" w:cstheme="minorHAnsi"/>
          <w:szCs w:val="24"/>
        </w:rPr>
        <w:fldChar w:fldCharType="end"/>
      </w:r>
      <w:r w:rsidR="00F25813">
        <w:t xml:space="preserve">.   Başvuranın avukatının </w:t>
      </w:r>
      <w:r w:rsidR="00E562AE">
        <w:t>BMBG</w:t>
      </w:r>
      <w:r w:rsidR="00F25813">
        <w:t xml:space="preserve">'nin davadaki çabalarıyla ilgili herhangi olası bir bilginin açıklanmasını istediği önceki bir mektuba cevap olarak Kıdemli Polis Danışmanı, </w:t>
      </w:r>
      <w:r w:rsidR="00E562AE">
        <w:t>BMBG</w:t>
      </w:r>
      <w:r w:rsidR="00F25813">
        <w:t xml:space="preserve">'nin 16 Ocak 2005 tarihinde Kıbrıs makamlarının talebi üzerine davaya </w:t>
      </w:r>
      <w:r w:rsidR="007F3C38">
        <w:t>dâhil</w:t>
      </w:r>
      <w:r w:rsidR="00F25813">
        <w:t xml:space="preserve"> olduğunu ve konumunu her iki taraf arasındaki bilgi alışverişini kolaylaştırmak için arabuluculuk rolü ile sınırlı tuttuğunu belirtmiştir.</w:t>
      </w:r>
    </w:p>
    <w:p w:rsidR="00F25813" w:rsidRPr="007C6A77" w:rsidRDefault="00F25813" w:rsidP="00F25813">
      <w:pPr>
        <w:pStyle w:val="ECHRHeading4"/>
      </w:pPr>
      <w:r>
        <w:t>(p)</w:t>
      </w:r>
      <w:r>
        <w:tab/>
        <w:t>Kıbrıs Polis Genel Müdüründen Kıbrıs Dışişleri Bakanlığına gönderilen 18 Mayıs 2006 tarihli mektup</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125</w:t>
      </w:r>
      <w:r w:rsidRPr="007C6A77">
        <w:rPr>
          <w:rFonts w:eastAsiaTheme="minorHAnsi" w:cstheme="minorHAnsi"/>
          <w:szCs w:val="24"/>
        </w:rPr>
        <w:fldChar w:fldCharType="end"/>
      </w:r>
      <w:r w:rsidR="00F25813">
        <w:t xml:space="preserve">.  Bu mektup, </w:t>
      </w:r>
      <w:r w:rsidR="00E562AE">
        <w:t>BMBG</w:t>
      </w:r>
      <w:r w:rsidR="00F25813">
        <w:t xml:space="preserve"> ve Kıdemli Polis Danışmanı Yardımcısı ("DSPA") ile gerçekleştirilen toplantılarda Kıdemli Polis Danışmanının, Kıbrıs polisi, İngiliz Egemen Üsleri polisi ve </w:t>
      </w:r>
      <w:r w:rsidR="008B4471">
        <w:t>“KKTC”</w:t>
      </w:r>
      <w:r w:rsidR="00F25813">
        <w:t xml:space="preserve"> polisi arasındaki toplantıların BM’nin tampon bölgesinde bulunan karma Pyla köyünde teknik hizmetler düzeyinde yapılmasını önerdiğini belirtmiştir. Ancak, Kıbrıs Polis Genel Müdürü bu öneriyi kaçaklara sığınma sağlayan "sahte devlet"in tanınması yolunda bir girişim teşkil edeceğinden reddetmiştir. Kıbrıs Polis Genel Müdürü, Kıbrıs Hükümetinin bu öneriyle ilgili siyasi duruşunu kabul etmeye çalışmıştır.</w:t>
      </w:r>
    </w:p>
    <w:p w:rsidR="00F25813" w:rsidRPr="007C6A77" w:rsidRDefault="00F25813" w:rsidP="00F25813">
      <w:pPr>
        <w:pStyle w:val="ECHRHeading4"/>
      </w:pPr>
      <w:r>
        <w:t>(q)</w:t>
      </w:r>
      <w:r>
        <w:tab/>
        <w:t>Kıbrıs polisi tarafından Polis Genel Müdürüne gönderilen 18 Mayıs 2006 tarihli yazışma</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126</w:t>
      </w:r>
      <w:r w:rsidRPr="007C6A77">
        <w:rPr>
          <w:rFonts w:eastAsiaTheme="minorHAnsi" w:cstheme="minorHAnsi"/>
          <w:szCs w:val="24"/>
        </w:rPr>
        <w:fldChar w:fldCharType="end"/>
      </w:r>
      <w:r w:rsidR="00F25813">
        <w:t>.  Bu yazışma, Kıdemli Polis Danışmanı, Kıdemli Polis Danışmanı Yardımcısı, Kıbrıs polisi ve soruşturma ekibi arasında bir gün önce gerçekleştirilen bir toplantıda, Kıdemli Polis Danışmanı Yardımcısının Kıbrıslı Rum ve Kıbrıslı Türk suçluların arasındaki işbirliğinin ve adadaki hareketlerinin artışına ilişkin endişelerini dile getirdiğini belirtmiştir. Kıdemli Polis Danışmanı Yardımcısı ayrıca:</w:t>
      </w:r>
    </w:p>
    <w:p w:rsidR="00F25813" w:rsidRPr="007C6A77" w:rsidRDefault="00F25813" w:rsidP="00F25813">
      <w:pPr>
        <w:pStyle w:val="ECHRPara"/>
        <w:rPr>
          <w:rFonts w:eastAsiaTheme="minorHAnsi" w:cstheme="minorHAnsi"/>
          <w:szCs w:val="24"/>
        </w:rPr>
      </w:pPr>
      <w:r>
        <w:t>-</w:t>
      </w:r>
      <w:r>
        <w:tab/>
        <w:t xml:space="preserve">Kıbrıs polisinin, şüphelilerin kovuşturmasını sağlamak için delilleri </w:t>
      </w:r>
      <w:r w:rsidR="008B4471">
        <w:t>“KKTC”</w:t>
      </w:r>
      <w:r>
        <w:t xml:space="preserve"> makamlarına iletmek üzere </w:t>
      </w:r>
      <w:r w:rsidR="00E562AE">
        <w:t>BMBG</w:t>
      </w:r>
      <w:r>
        <w:t>'ye vermeye niyetlenip niyetlenmediğini;</w:t>
      </w:r>
    </w:p>
    <w:p w:rsidR="00F25813" w:rsidRPr="007C6A77" w:rsidRDefault="00F25813" w:rsidP="00F25813">
      <w:pPr>
        <w:pStyle w:val="ECHRPara"/>
        <w:rPr>
          <w:rFonts w:eastAsiaTheme="minorHAnsi" w:cstheme="minorHAnsi"/>
          <w:szCs w:val="24"/>
        </w:rPr>
      </w:pPr>
      <w:r>
        <w:t>-</w:t>
      </w:r>
      <w:r>
        <w:tab/>
        <w:t xml:space="preserve">Kıbrıs polisinin, şüphelilerin tampon bölgedeki Ledra Palace Hotel'deki bir </w:t>
      </w:r>
      <w:r w:rsidR="00E562AE">
        <w:t>BMBG</w:t>
      </w:r>
      <w:r>
        <w:t xml:space="preserve"> binasına götürülmesi ve "video kayıt görüşmesi yöntemi" ile sorgulanmaları için gerekli düzenlemeleri yapıp yapamadığı ve eğer bu mümkünse - bu tür delillerin bir Kıbrıs mahkemesinde kabul edilebilir nitelikte olup olmadığını;</w:t>
      </w:r>
    </w:p>
    <w:p w:rsidR="00F25813" w:rsidRPr="007C6A77" w:rsidRDefault="00F25813" w:rsidP="00F25813">
      <w:pPr>
        <w:pStyle w:val="ECHRPara"/>
        <w:rPr>
          <w:rFonts w:eastAsiaTheme="minorHAnsi" w:cstheme="minorHAnsi"/>
          <w:szCs w:val="24"/>
        </w:rPr>
      </w:pPr>
      <w:r>
        <w:t>-</w:t>
      </w:r>
      <w:r>
        <w:tab/>
        <w:t>Şüphelilerin birinin diğer şüpheliler aleyhinde bir açıklama yapmaya gelmesi halinde, Kıbrıs makamlarının kendisini tutuklayıp tutuklamayacağı ve kendisine karşı ceza davası açıp açmayacağını da soruşturmuştur.</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127</w:t>
      </w:r>
      <w:r w:rsidRPr="007C6A77">
        <w:rPr>
          <w:rFonts w:eastAsiaTheme="minorHAnsi" w:cstheme="minorHAnsi"/>
          <w:szCs w:val="24"/>
        </w:rPr>
        <w:fldChar w:fldCharType="end"/>
      </w:r>
      <w:r w:rsidR="00F25813">
        <w:t xml:space="preserve">.  Kıbrıs polisi Kıdemli Polis Danışmanı Yardımcısına, </w:t>
      </w:r>
      <w:r w:rsidR="008B4471">
        <w:t>“KKTC”</w:t>
      </w:r>
      <w:r w:rsidR="00F25813">
        <w:t xml:space="preserve"> makamları ya da polisi ile değil, </w:t>
      </w:r>
      <w:r w:rsidR="00E562AE">
        <w:t>BMBG</w:t>
      </w:r>
      <w:r w:rsidR="00F25813">
        <w:t xml:space="preserve"> ile işbirliği yapacaklarını iletmiştir. Ayrıca Kıbrıs polisi, Kıdemli Polis Danışmanı Yardımcısına kovuşturmaya ilişkin kararların Başsavcı tarafından alındığını da bildirmiştir. Kırmızı Bültenlere rağmen Türkiye'nin işbirliği yapmayı reddettiğinin ve Türkiye'ye giden beşinci şüpheliyi teslim etmediğinin altını çizmiştir. Beşinci şüpheli öncesinde tutuklamış ancak sonradan serbest bırakılmıştır.</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128</w:t>
      </w:r>
      <w:r w:rsidRPr="007C6A77">
        <w:rPr>
          <w:rFonts w:eastAsiaTheme="minorHAnsi" w:cstheme="minorHAnsi"/>
          <w:szCs w:val="24"/>
        </w:rPr>
        <w:fldChar w:fldCharType="end"/>
      </w:r>
      <w:r w:rsidR="00F25813">
        <w:t xml:space="preserve">.  Kıdemli Polis Danışmanı Yardımcısı, </w:t>
      </w:r>
      <w:r w:rsidR="008B4471">
        <w:t>“KKTC”</w:t>
      </w:r>
      <w:r w:rsidR="00F25813">
        <w:t xml:space="preserve">nin -kendi kanunları uyarınca- Kıbrıs Türklerini teslim edemediğini belirtmiştir. Komiser tarafından </w:t>
      </w:r>
      <w:r w:rsidR="008B4471">
        <w:t>“KKTC”</w:t>
      </w:r>
      <w:r w:rsidR="00F25813">
        <w:t>nin bir devlet olmadığı vurgulanmıştır. Kıdemli Polis Danışmanı Yardımcısı, şüphelilerin Yunanistan gibi üçüncü bir ülkeye teslim edilebileceği ve adalete teslim edilebilmeleri için gerekli adımların orada atılabileceği yönünde bir öneride de bulunmuştur Komiser Kıdemli Polis Danışmanı Yardımcısına, bunun bir seçenek olmadığını ve Türkiye'nin uluslararası hukuka uyma yükümlülüğü bulunduğunu bildirmiştir. Son olarak, Kıdemli Polis Danışmanı Yardımcısı meselenin siyasi boyuta taşınmasını önlemek, işbirliği için çözümler bulmak ve failleri adalete teslim etmek için konunun ilgili teknik komite tarafından görüşülebileceğini önermiştir. Kıdemli Polis Danışmanı Yardımcısı, bu konunun hassas bir mesele olduğunu ve siyasi yönlerin göz ardı edilemeyeceğini; "sahte devlet" makamlarının soruşturmayı tamamlamak ve failleri adalete teslim etmekle ilgilenmesi halinde, suçlulara sığınma sağlamayı bırakmaları gerektiğini belirtmiştir.</w:t>
      </w:r>
    </w:p>
    <w:p w:rsidR="00F25813" w:rsidRPr="007C6A77" w:rsidRDefault="00F25813" w:rsidP="00F25813">
      <w:pPr>
        <w:pStyle w:val="ECHRHeading4"/>
      </w:pPr>
      <w:r>
        <w:t>(r)</w:t>
      </w:r>
      <w:r>
        <w:tab/>
      </w:r>
      <w:r w:rsidR="00E562AE">
        <w:t>BMBG</w:t>
      </w:r>
      <w:r>
        <w:t xml:space="preserve"> ve Kıbrıs Polisi arasında 20 Haziran 2006 tarihinde yapılan toplantıyla ilgili iç yazışma (Kıbrıs)</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129</w:t>
      </w:r>
      <w:r w:rsidRPr="007C6A77">
        <w:rPr>
          <w:rFonts w:eastAsiaTheme="minorHAnsi" w:cstheme="minorHAnsi"/>
          <w:szCs w:val="24"/>
        </w:rPr>
        <w:fldChar w:fldCharType="end"/>
      </w:r>
      <w:r w:rsidR="00F25813">
        <w:t xml:space="preserve">.  Bu yazışma, bu toplantıda Kıdemli Polis Danışmanı Yardımcısının </w:t>
      </w:r>
      <w:r w:rsidR="008B4471">
        <w:t>“KKTC”</w:t>
      </w:r>
      <w:r w:rsidR="00F25813">
        <w:t xml:space="preserve"> makamlarını şüphelileri teslim etmeye ikna etmeye çalıştığını ifade ettiğini belirtmiştir. Kıbrıs polisi, Kıdemli Polis Danışmanı Yardımcısına "sahte devlet" makamlarına herhangi bir delil sunmayacaklarını veya bu makamlarla işbirliği yapmayacaklarını; ancak bu durumun yasa dışı bir varlığın herhangi bir şekilde tanınmasını ima etmeksizin </w:t>
      </w:r>
      <w:r w:rsidR="00E562AE">
        <w:t>BMBG</w:t>
      </w:r>
      <w:r w:rsidR="00F25813">
        <w:t xml:space="preserve"> ile işbirliği yapmaya istekli olduklarını bildirmiştir.</w:t>
      </w:r>
    </w:p>
    <w:p w:rsidR="00F25813" w:rsidRPr="007C6A77" w:rsidRDefault="00F25813" w:rsidP="00F25813">
      <w:pPr>
        <w:pStyle w:val="ECHRHeading4"/>
      </w:pPr>
      <w:r>
        <w:t>(S)  Kıdemli Polis Danışmanı Yardımcısı tarafından başvuru sahiplerinin temsilcisine gönderilen 25 Ekim 2006 tarihli e-posta</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130</w:t>
      </w:r>
      <w:r w:rsidRPr="007C6A77">
        <w:rPr>
          <w:rFonts w:eastAsiaTheme="minorHAnsi" w:cstheme="minorHAnsi"/>
          <w:szCs w:val="24"/>
        </w:rPr>
        <w:fldChar w:fldCharType="end"/>
      </w:r>
      <w:r w:rsidR="00F25813">
        <w:t>.  Kıdemli Polis Danışmanı Yardımcısı tarafından başvuranların temsilcisi Bayan Meleagrou’ya 25 Ekim 2006 tarihinde gönderilen bir e-postada, diğerlerinin yanı sıra, aşağıdakiler belirtilmiştir:</w:t>
      </w:r>
    </w:p>
    <w:p w:rsidR="00F25813" w:rsidRPr="006515E8" w:rsidRDefault="00F25813" w:rsidP="00A936F2">
      <w:pPr>
        <w:pStyle w:val="ECHRParaQuote"/>
      </w:pPr>
      <w:r w:rsidRPr="006515E8">
        <w:t xml:space="preserve">“Talebinizi not ediyorum ve BM'nin tüm </w:t>
      </w:r>
      <w:r w:rsidR="00B0552C" w:rsidRPr="006515E8">
        <w:t>cezai konuları</w:t>
      </w:r>
      <w:r w:rsidRPr="006515E8">
        <w:t xml:space="preserve">, özellikle… bu en ciddi davada üst düzey işbirliği ile ele alacağı hususunda sizi temin ederim. </w:t>
      </w:r>
      <w:r w:rsidR="00E562AE" w:rsidRPr="006515E8">
        <w:t>BMBG</w:t>
      </w:r>
      <w:r w:rsidRPr="006515E8">
        <w:t xml:space="preserve"> bu davaya bir sonuç getirme çabalarını tüketirken, iki tarafın da ilerlemeyi kabul etmemesi nedeniyle bugünlerde bir çıkmaza girilmesi talihsiz bir durumdur. Şu yorumlarınızı not ediyorum:</w:t>
      </w:r>
    </w:p>
    <w:p w:rsidR="00F25813" w:rsidRPr="006515E8" w:rsidRDefault="00F25813" w:rsidP="00A936F2">
      <w:pPr>
        <w:pStyle w:val="ECHRParaQuote"/>
      </w:pPr>
      <w:r w:rsidRPr="006515E8">
        <w:t>[Kıbrıs Cumhuriyeti],  BM hukuk ekibinin delilleri değerlendirebilmesi ve şüphelilerin aleyhinde ilk bakışta haklı görülen bir dava var olup olmadığını anlayabilmesi için şüpheliler hakkındaki tüm delilleri Kıbrıs'taki BM'ye teslim edecektir. [Kıbrıs Cumhuriyeti] bunu ancak, BM’nin şüphelilerin aleyhine ilk bakışta haklı görünen bir davanın var olduğuna kanaat getirmesi halinde (</w:t>
      </w:r>
      <w:r w:rsidRPr="006515E8">
        <w:rPr>
          <w:i/>
        </w:rPr>
        <w:t xml:space="preserve">muhtemelen </w:t>
      </w:r>
      <w:r w:rsidR="008B4471" w:rsidRPr="006515E8">
        <w:rPr>
          <w:i/>
        </w:rPr>
        <w:t>“KKTC”</w:t>
      </w:r>
      <w:r w:rsidRPr="006515E8">
        <w:rPr>
          <w:i/>
        </w:rPr>
        <w:t xml:space="preserve"> ile görüşüldükten sonra</w:t>
      </w:r>
      <w:r w:rsidRPr="006515E8">
        <w:t xml:space="preserve"> -italik halinde yazılan parantez içi bu aşamada teklifin tam anlamıyla konuşulan bir parçası değildir, ancak meseleleri kolaylaştırmak için tartışmak zorunda kalacağımız bir bölüm olabilir) </w:t>
      </w:r>
      <w:r w:rsidR="008B4471" w:rsidRPr="006515E8">
        <w:t>“KKTC”</w:t>
      </w:r>
      <w:r w:rsidRPr="006515E8">
        <w:t xml:space="preserve"> makamları şüphelileri yargılanmak üzere [Kıbrıs Cumhuriyetine] teslim edeceğini taahhüt ederse yapacaktır:</w:t>
      </w:r>
    </w:p>
    <w:p w:rsidR="00F25813" w:rsidRPr="006515E8" w:rsidRDefault="00F25813" w:rsidP="00A936F2">
      <w:pPr>
        <w:pStyle w:val="ECHRParaQuote"/>
      </w:pPr>
      <w:r w:rsidRPr="006515E8">
        <w:t>1. [Kıbrıs Cumhuriyeti], kuzeyde yargılama yapılması için herhangi bir kanıt teslim etmeyecektir. Bu durum, [bir]diğer yargı yetkisinin (Birleşik Krallık) geçmişte, Birleşik Krallık'ta işlenen ciddi bir suçla [ilgili olarak] başarıyla kuzeyde yargılamanın yürütülmesine yol açmasına rağmen gerçekleşmeyecektir.</w:t>
      </w:r>
    </w:p>
    <w:p w:rsidR="00F25813" w:rsidRPr="006515E8" w:rsidRDefault="00F25813" w:rsidP="00A936F2">
      <w:pPr>
        <w:pStyle w:val="ECHRParaQuote"/>
      </w:pPr>
      <w:r w:rsidRPr="006515E8">
        <w:t>2. Kuzeyde yürütülen yasal süreçler, hiçbir [Kıbrıs Türkü olan] şüphelinin başka koşullar altında güneydeki veya herhangi bir ülkedeki makamlara teslim edilmesine izin vermemektedir.</w:t>
      </w:r>
    </w:p>
    <w:p w:rsidR="00F25813" w:rsidRPr="006515E8" w:rsidRDefault="00F25813" w:rsidP="00A936F2">
      <w:pPr>
        <w:pStyle w:val="ECHRParaQuote"/>
      </w:pPr>
      <w:r w:rsidRPr="006515E8">
        <w:t xml:space="preserve">Bu nedenle </w:t>
      </w:r>
      <w:r w:rsidR="00E562AE" w:rsidRPr="006515E8">
        <w:t>BMBG</w:t>
      </w:r>
      <w:r w:rsidRPr="006515E8">
        <w:t xml:space="preserve">, bu davada yapabildiği [herhangi bir şekilde] bunu kolaylaştırmaya hazırdır; bir tarafın ya da diğerinin mevcut tutumundan vazgeçeceği zamana kadar [ulaşılan] bir çözüm göremiyorum. Ya [Kıbrıs Cumhuriyeti] o "yargı yetkisinde" bir yargılamanın yürütülebilmesi için tüm delilleri kuzeye teslim etmeye ve tam anlamıyla bir polis desteği ve delillere dayanan bir işbirliği sunmaya; ya da kuzey, [Kıbrıs Cumhuriyeti]'ne geçtikleri için şüphelileri </w:t>
      </w:r>
      <w:r w:rsidR="00E562AE" w:rsidRPr="006515E8">
        <w:t>BMBG</w:t>
      </w:r>
      <w:r w:rsidRPr="006515E8">
        <w:t>'ye teslim etmek amacıyla kuzeyde bir tutuklama müzekkeresinin [çıkartılmasına] neden olacak yeterli delil [temelinde] şüphelileri teslim etmeye hazırdır.</w:t>
      </w:r>
    </w:p>
    <w:p w:rsidR="00F25813" w:rsidRPr="006515E8" w:rsidRDefault="00F25813" w:rsidP="00A936F2">
      <w:pPr>
        <w:pStyle w:val="ECHRParaQuote"/>
      </w:pPr>
      <w:r w:rsidRPr="006515E8">
        <w:t xml:space="preserve">Her zaman olduğu gibi </w:t>
      </w:r>
      <w:r w:rsidR="00E562AE" w:rsidRPr="006515E8">
        <w:t>BMBG</w:t>
      </w:r>
      <w:r w:rsidRPr="006515E8">
        <w:t xml:space="preserve"> mümkün olan her şekilde işbirliği yapmaya hazırdır."</w:t>
      </w:r>
    </w:p>
    <w:p w:rsidR="00F25813" w:rsidRPr="007C6A77" w:rsidRDefault="00F25813" w:rsidP="00F25813">
      <w:pPr>
        <w:pStyle w:val="ECHRHeading4"/>
      </w:pPr>
      <w:r>
        <w:t>(t)  </w:t>
      </w:r>
      <w:r w:rsidR="00E562AE">
        <w:t>BMBG</w:t>
      </w:r>
      <w:r>
        <w:t xml:space="preserve"> tarafından başvuranların temsilcisine gönderilen 16 Kasım 2006 tarihli e-posta</w:t>
      </w:r>
    </w:p>
    <w:p w:rsidR="00F25813" w:rsidRPr="007C6A77" w:rsidRDefault="00BB2D2A" w:rsidP="00F25813">
      <w:pPr>
        <w:pStyle w:val="ECHRPara"/>
        <w:rPr>
          <w:rFonts w:eastAsiaTheme="minorHAnsi" w:cstheme="minorHAnsi"/>
          <w:szCs w:val="24"/>
        </w:rPr>
      </w:pPr>
      <w:r w:rsidRPr="007C6A77">
        <w:rPr>
          <w:rFonts w:eastAsiaTheme="minorHAnsi" w:cstheme="minorHAnsi"/>
          <w:szCs w:val="24"/>
        </w:rPr>
        <w:fldChar w:fldCharType="begin"/>
      </w:r>
      <w:r w:rsidR="00F25813" w:rsidRPr="007C6A77">
        <w:rPr>
          <w:rFonts w:eastAsiaTheme="minorHAnsi" w:cstheme="minorHAnsi"/>
          <w:szCs w:val="24"/>
        </w:rPr>
        <w:instrText xml:space="preserve"> SEQ level0 \*arabic </w:instrText>
      </w:r>
      <w:r w:rsidRPr="007C6A77">
        <w:rPr>
          <w:rFonts w:eastAsiaTheme="minorHAnsi" w:cstheme="minorHAnsi"/>
          <w:szCs w:val="24"/>
        </w:rPr>
        <w:fldChar w:fldCharType="separate"/>
      </w:r>
      <w:r w:rsidR="00332D11">
        <w:rPr>
          <w:rFonts w:eastAsiaTheme="minorHAnsi" w:cstheme="minorHAnsi"/>
          <w:noProof/>
          <w:szCs w:val="24"/>
        </w:rPr>
        <w:t>131</w:t>
      </w:r>
      <w:r w:rsidRPr="007C6A77">
        <w:rPr>
          <w:rFonts w:eastAsiaTheme="minorHAnsi" w:cstheme="minorHAnsi"/>
          <w:szCs w:val="24"/>
        </w:rPr>
        <w:fldChar w:fldCharType="end"/>
      </w:r>
      <w:r w:rsidR="00F25813">
        <w:t>.  </w:t>
      </w:r>
      <w:r w:rsidR="00E562AE">
        <w:t>BMBG</w:t>
      </w:r>
      <w:r w:rsidR="00F25813">
        <w:t xml:space="preserve"> tarafından başvuranların temsilcisi Bayan Meleagrou'ya 16 Kasım 2006 tarihinde gönderilen bir e-postada şunlar belirtilmiştir:</w:t>
      </w:r>
    </w:p>
    <w:p w:rsidR="00F25813" w:rsidRPr="007C6A77" w:rsidRDefault="00F25813" w:rsidP="00A936F2">
      <w:pPr>
        <w:pStyle w:val="ECHRParaQuote"/>
      </w:pPr>
      <w:r>
        <w:t xml:space="preserve">“Size daha önceki e-postamda belirttiğim üzere </w:t>
      </w:r>
      <w:r w:rsidR="00E562AE">
        <w:t>BMBG</w:t>
      </w:r>
      <w:r>
        <w:t xml:space="preserve">, bu konuda taraflar arasındaki müzakereleri kolaylaştırmaya hazırdır ve çözüm bulma çabalarına devam etmektedir. Bununla birlikte </w:t>
      </w:r>
      <w:r w:rsidR="00E562AE">
        <w:t>BMBG</w:t>
      </w:r>
      <w:r>
        <w:t xml:space="preserve">, Kıbrıs Cumhuriyeti'nin sahip olduğu delillerle ilgili resmi bir karar vermek üzere resmi olarak konu hakkında uzman görevlendirecek bir konumda değildir. </w:t>
      </w:r>
      <w:r w:rsidR="00E562AE">
        <w:t>BMBG</w:t>
      </w:r>
      <w:r>
        <w:t xml:space="preserve">’nin iki tarafın da uygun bir konuma ulaşması için görünürde yeterli delil olduğunu düşünürken, iki taraf arasında daha anlamlı bir diyalog oluşturulması için kullanılabilecek kopyaları veya başka türlü malzemeleri içeren daha fazla delilin veya tüm delillerin Kıbrıs </w:t>
      </w:r>
      <w:r w:rsidR="00B0552C">
        <w:t>Cumhuriyeti’nden alınmasını</w:t>
      </w:r>
      <w:r>
        <w:t xml:space="preserve"> memnuniyetle karşıladığı daha önceden belirtilmiştir. Benim kanaatimce yararlı müzakereleri daha da kolaylaştırabilecek aşağıdaki seçenekleri tekrar ediyorum:</w:t>
      </w:r>
    </w:p>
    <w:p w:rsidR="00F25813" w:rsidRPr="007C6A77" w:rsidRDefault="00F25813" w:rsidP="00A936F2">
      <w:pPr>
        <w:pStyle w:val="ECHRParaQuote"/>
      </w:pPr>
      <w:r>
        <w:t xml:space="preserve">[Kıbrıs Cumhuriyeti], halel getirmeksizin, suçu işlediği iddia edilen faillerin tutuklanmasını müzakere etmek ve yargılama amacıyla güneydeki makamlara teslim için </w:t>
      </w:r>
      <w:r w:rsidR="00E562AE">
        <w:t>BMBG</w:t>
      </w:r>
      <w:r>
        <w:t xml:space="preserve">’ye teslim etmek amacıyla, </w:t>
      </w:r>
      <w:r w:rsidR="00E562AE">
        <w:t>BMBG</w:t>
      </w:r>
      <w:r>
        <w:t xml:space="preserve">’nin uygun gördüğü şekilde kullanılmasına izin vererek gerekli olan tüm delilleri </w:t>
      </w:r>
      <w:r w:rsidR="00E562AE">
        <w:t>BMBG</w:t>
      </w:r>
      <w:r>
        <w:t>’ye iletmelidir. Ancak, kuzeyin suçu işlediği iddia edilen failleri tutuklayacağı ve teslim edeceği konusunda açık bir güvence olmaksızın bunun başarılı olma şansı azdır.</w:t>
      </w:r>
    </w:p>
    <w:p w:rsidR="00F25813" w:rsidRPr="007C6A77" w:rsidRDefault="00F25813" w:rsidP="00A936F2">
      <w:pPr>
        <w:pStyle w:val="ECHRParaQuote"/>
      </w:pPr>
      <w:r>
        <w:t xml:space="preserve">Diğer tek </w:t>
      </w:r>
      <w:r w:rsidRPr="006515E8">
        <w:t>çözüm</w:t>
      </w:r>
      <w:r>
        <w:t xml:space="preserve">, [Kıbrıs Cumhuriyeti’nin], kuzeyde yargılamanın yürütülmesi amacıyla kuzeydeki ilgili kişilere iletmesi için tüm delilleri </w:t>
      </w:r>
      <w:r w:rsidR="00E562AE">
        <w:t>BMBG</w:t>
      </w:r>
      <w:r>
        <w:t>'</w:t>
      </w:r>
      <w:r w:rsidR="00E562AE">
        <w:t>y</w:t>
      </w:r>
      <w:r>
        <w:t>e teslim etmesidir. Bu seçenek zaten [Kıbrıs Cumhuriyeti] tarafından reddedilmiştir."</w:t>
      </w:r>
    </w:p>
    <w:p w:rsidR="001E4E7C" w:rsidRPr="007C6A77" w:rsidRDefault="00F25813" w:rsidP="00F25813">
      <w:pPr>
        <w:pStyle w:val="ECHRHeading3"/>
      </w:pPr>
      <w:r>
        <w:t xml:space="preserve">2. Diğer ilgili belgeler: BM Genel Sekreteri'nin Kıbrıs'taki BM operasyonu hakkındaki raporları </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132</w:t>
      </w:r>
      <w:r w:rsidRPr="007C6A77">
        <w:fldChar w:fldCharType="end"/>
      </w:r>
      <w:r w:rsidR="00F25813">
        <w:t>.  BM Genel Sekreteri'nin Kıbrıs'taki BM operasyonu ile ilgili raporlarının ilgili kısımları aşağıda belirtilmiştir:</w:t>
      </w:r>
    </w:p>
    <w:bookmarkStart w:id="43" w:name="SECREP05"/>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133</w:t>
      </w:r>
      <w:r w:rsidRPr="007C6A77">
        <w:fldChar w:fldCharType="end"/>
      </w:r>
      <w:bookmarkEnd w:id="43"/>
      <w:r w:rsidR="00F25813">
        <w:t>.  27 Mayıs 2005 tarihli rapor:</w:t>
      </w:r>
    </w:p>
    <w:p w:rsidR="00F25813" w:rsidRPr="007C6A77" w:rsidRDefault="00F25813" w:rsidP="00A936F2">
      <w:pPr>
        <w:pStyle w:val="ECHRParaQuote"/>
      </w:pPr>
      <w:r>
        <w:t xml:space="preserve">“23. Taraflar arasındaki resmi temas yüksek derecede güvensizlik nedeniyle engellenmektedir. 15 Ocak 2005 tarihinde, güneyde yaşayan bir Kıbrıs Türkü olan ailenin üç üyesi öldürülmüştür... . Tüm deliller güneyde kalırken kuzeyde sekiz şüpheli tutuklanmıştır. </w:t>
      </w:r>
      <w:r w:rsidR="00E562AE">
        <w:t>BMBG</w:t>
      </w:r>
      <w:r>
        <w:t>'nin taraflara şüphelileri adalete teslim etmeye yardım etme yönündeki çabaları başarısızlıkla sonuçlanmış ve tüm şüpheliler kuzeyde serbest bırakılmıştır. Bu dava; kaçakçılık, uyuşturucu kaçakçılığı, yasa dışı göç ve insan kaçakçılığı gibi ateşkes hattındaki giderek artan suçların bir göstergesidir. Bu sorunlar, taraflar arasındaki mevcut işbirliği eksikliğinin devam etmesi halinde, olumlu olmasına rağmen olumsuz sonuçlara yol açma potansiyeline sahip olan toplu</w:t>
      </w:r>
      <w:r w:rsidR="00993701">
        <w:t>mlar</w:t>
      </w:r>
      <w:r>
        <w:t>arası temasların yaygınlaştırılmasında açık şekilde görülmektedir.</w:t>
      </w:r>
    </w:p>
    <w:p w:rsidR="00F25813" w:rsidRPr="007C6A77" w:rsidRDefault="00F25813" w:rsidP="00A936F2">
      <w:pPr>
        <w:pStyle w:val="ECHRParaQuote"/>
      </w:pPr>
      <w:r>
        <w:t xml:space="preserve">24. Taraflar arasındaki resmi temasların devam etmemesi </w:t>
      </w:r>
      <w:r w:rsidR="00E562AE">
        <w:t>BMBG</w:t>
      </w:r>
      <w:r>
        <w:t xml:space="preserve">'nin iki toplumlu temasların desteklenmesindeki rolünü vurgulamıştır. Her iki taraftan da insanların, 2003 yılında geçişlerin açılmasından bu yana özgürce bir araya gelebilmesine rağmen, kuzeyde ve güneydeki siyasi partilerinki de </w:t>
      </w:r>
      <w:r w:rsidR="007F3C38">
        <w:t>dâhil</w:t>
      </w:r>
      <w:r>
        <w:t xml:space="preserve"> olmak üzere hassas insani yardım toplantıları ve diğer toplantılar için Ledra Palace Hotel alanının ve Birleşmiş Milletler şemsiyesinin tarafsızlığı vazgeçilmez unsurlar olarak görülmektedir. </w:t>
      </w:r>
      <w:r w:rsidR="00E562AE">
        <w:t>BMBG</w:t>
      </w:r>
      <w:r>
        <w:t xml:space="preserve">'nin himayesinde taraflar arasında siyasi konumlarına halel getirmeksizin, güven ortamı yaratan ve gerilimleri azaltan insani ve ilgili konularda temasların kurulabileceği umulmaktadır. Raporlama döneminde </w:t>
      </w:r>
      <w:r w:rsidR="00E562AE">
        <w:t>BMBG</w:t>
      </w:r>
      <w:r>
        <w:t xml:space="preserve">, Birleşmiş Milletler Kalkınma Programı (UNDP) / Birleşmiş Milletler Proje Hizmetleri Ofisi (UNOPS) tarafından uygulananlar da </w:t>
      </w:r>
      <w:r w:rsidR="007F3C38">
        <w:t>dâhil</w:t>
      </w:r>
      <w:r>
        <w:t xml:space="preserve"> olmak üzere iki toplumu bir araya getiren 57 adet etkinlik için imkân sağlamıştır ... "</w:t>
      </w:r>
    </w:p>
    <w:bookmarkStart w:id="44" w:name="SECREP8"/>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134</w:t>
      </w:r>
      <w:r w:rsidRPr="007C6A77">
        <w:fldChar w:fldCharType="end"/>
      </w:r>
      <w:bookmarkEnd w:id="44"/>
      <w:r w:rsidR="00F25813">
        <w:t>.  2 Haziran 2008 tarihli rapor:</w:t>
      </w:r>
    </w:p>
    <w:p w:rsidR="00F25813" w:rsidRPr="007C6A77" w:rsidRDefault="00F25813" w:rsidP="00A936F2">
      <w:pPr>
        <w:pStyle w:val="ECHRParaQuote"/>
        <w:rPr>
          <w:rStyle w:val="JuQuotChar"/>
        </w:rPr>
      </w:pPr>
      <w:r>
        <w:rPr>
          <w:rStyle w:val="JuQuotChar"/>
        </w:rPr>
        <w:t>“4. 21 Mart'ta [2008], ... iki lider o zamanki Özel Temsilcisinin huzurunda bir araya gelmiş ve kapsamlı bir çözüm yoluna ilişkin mutabakata varmışlardır (bk. Ek II). Anlaşma, nihai bir uzlaşma planına ilişkin temel konuları değerlendirmek için bir dizi çalışma grubunun ve adanın bölünmesinden kaynaklanan günlük sorunlara anında çözüm bulabilmek için teknik komitelerin kurulmasını gerekli kılmıştır. İki lider ayrıca çalışma gruplarının ve teknik komitelerin çalışmalarını gözden geçirmek ve sonuçlarını kullanarak Birleşmiş Milletler himayesinde kapsamlı müzakerelere başlamak için üç ay içinde tekrar bir araya gelme konusunda anlaşmıştır. Buna ek olarak, liderler tam teşekküllü müzakereler başlamadan önce ihtiyaca göre ve ihtiyaç olduğunda bir araya gelmeye mutabık kalmıştır. ...</w:t>
      </w:r>
    </w:p>
    <w:p w:rsidR="00F25813" w:rsidRPr="007C6A77" w:rsidRDefault="00F25813" w:rsidP="00A936F2">
      <w:pPr>
        <w:pStyle w:val="ECHRParaQuote"/>
      </w:pPr>
      <w:r>
        <w:t>5. 26 Mart'ta [2008], liderlerin temsilcileri; yönetişim ve güç paylaşımı, Avrupa Birliği konuları, güvenlik ve güvenceler, toprak, mülk ve ekonomik konularında altı adet çalışma grubunun yanı sıra, suç ve suça ilişkin, ekonomik ve ticari konularda, kültürel miras, kriz yönetimi, insani sorunlar, sağlık ve çevre konularında yedi adet teknik komite oluşturmaya karar vermiştir. ... 22 Nisan'da [2008], gruplar ve komiteler toplanmaya başlamıştır. O zamandan bu yana, liderlerin öngördüğü şekilde ve Birleşmiş Milletlerin aracılığında, düzenli olarak bir araya gelmektedirler.”</w:t>
      </w:r>
    </w:p>
    <w:bookmarkStart w:id="45" w:name="SECREP9"/>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135</w:t>
      </w:r>
      <w:r w:rsidRPr="007C6A77">
        <w:fldChar w:fldCharType="end"/>
      </w:r>
      <w:bookmarkEnd w:id="45"/>
      <w:r w:rsidR="00F25813">
        <w:t>.  15 Mayıs 2009 Cuma tarihli rapor:</w:t>
      </w:r>
    </w:p>
    <w:p w:rsidR="00F25813" w:rsidRPr="007C6A77" w:rsidRDefault="00F25813" w:rsidP="00A936F2">
      <w:pPr>
        <w:pStyle w:val="ECHRParaQuote"/>
        <w:rPr>
          <w:rStyle w:val="JuParaCar"/>
          <w:rFonts w:eastAsiaTheme="minorHAnsi"/>
        </w:rPr>
      </w:pPr>
      <w:r>
        <w:t>“9. Liderler, 14 Nisan 2009 tarihinde teknik komiteler tarafından belirlenen ve tüm ada genelindeki Kıbrıslıların günlük hayatını iyileştirmeyi amaçlayan 23 güven artırıcı tedbirden 4'ünün uygulanması konusunda anlaşmaya varmıştır. Bunlar, acil durumlarda geçit noktalarından ambulansların geçişi, suç ve suça ilişkin konularda bilgi paylaşmak için bir iletişim ve irtibat tesisi (24 saat çalışmak üzere) kurulması, Birleşmiş Milletler Kalkınma Programı (UNDP) tarafından su tasarrufu için farkındalık yaratma önlemlerine ve ortak kültürel miras konusunda bir danışma kurulu kurulması ile ilgilidir. …”</w:t>
      </w:r>
    </w:p>
    <w:bookmarkStart w:id="46" w:name="SECREP15"/>
    <w:p w:rsidR="00F25813" w:rsidRPr="007C6A77" w:rsidRDefault="00BB2D2A" w:rsidP="00F25813">
      <w:pPr>
        <w:pStyle w:val="ECHRPara"/>
      </w:pPr>
      <w:r w:rsidRPr="007C6A77">
        <w:rPr>
          <w:rStyle w:val="JuParaCar"/>
        </w:rPr>
        <w:fldChar w:fldCharType="begin"/>
      </w:r>
      <w:r w:rsidR="00F25813" w:rsidRPr="007C6A77">
        <w:rPr>
          <w:rStyle w:val="JuParaCar"/>
        </w:rPr>
        <w:instrText xml:space="preserve"> SEQ level0 \*arabic </w:instrText>
      </w:r>
      <w:r w:rsidRPr="007C6A77">
        <w:rPr>
          <w:rStyle w:val="JuParaCar"/>
        </w:rPr>
        <w:fldChar w:fldCharType="separate"/>
      </w:r>
      <w:r w:rsidR="00332D11">
        <w:rPr>
          <w:rStyle w:val="JuParaCar"/>
          <w:noProof/>
        </w:rPr>
        <w:t>136</w:t>
      </w:r>
      <w:r w:rsidRPr="007C6A77">
        <w:rPr>
          <w:rStyle w:val="JuParaCar"/>
        </w:rPr>
        <w:fldChar w:fldCharType="end"/>
      </w:r>
      <w:bookmarkEnd w:id="46"/>
      <w:r w:rsidR="00F25813">
        <w:rPr>
          <w:rStyle w:val="JuParaCar"/>
        </w:rPr>
        <w:t>.  9 Ocak 2015 Cuma tarihli rapor:</w:t>
      </w:r>
    </w:p>
    <w:p w:rsidR="00F25813" w:rsidRPr="007C6A77" w:rsidRDefault="00F25813" w:rsidP="00A936F2">
      <w:pPr>
        <w:pStyle w:val="ECHRParaQuote"/>
      </w:pPr>
      <w:r>
        <w:t xml:space="preserve">“10. ... </w:t>
      </w:r>
      <w:r w:rsidR="00E562AE">
        <w:t>BMBG</w:t>
      </w:r>
      <w:r>
        <w:t xml:space="preserve"> polisi, Suç ve Suça İlişkin Sorunlar Teknik Komitesi toplantılarına aracılık etmiş ve Ortak İletişim Odası, her iki tarafın polis teşkilatları için gelişmiş işbirliği platformu sağlayarak aktif olarak çalışmalarına devam etmiştir. Hizmet içindeki polis memurlarının Kıbrıs Rum temsilcisi olarak Teknik Komiteye ilk kez atanmaları da işbirliğinde önemli bir adıma işaret etmiştir. Toplu</w:t>
      </w:r>
      <w:r w:rsidR="008F6FAB">
        <w:t>mlararası</w:t>
      </w:r>
      <w:r>
        <w:t xml:space="preserve"> unsurları olan suça ilişkin konularda bilgi alışverişinin ötesinde, Ortak İletişim Odası, tampon bölge içerisinde ve genelinde meydana gelen suçların soruşturulması, şüpheli kişilerin </w:t>
      </w:r>
      <w:r w:rsidR="00E562AE">
        <w:t>BMBG</w:t>
      </w:r>
      <w:r>
        <w:t xml:space="preserve"> polisi vasıtasıyla teslim edilmesi ve insani durumlar üzerinde yoğunlaşmıştır. "</w:t>
      </w:r>
    </w:p>
    <w:p w:rsidR="00F25813" w:rsidRPr="007C6A77" w:rsidRDefault="00F25813" w:rsidP="00F25813">
      <w:pPr>
        <w:pStyle w:val="ECHRHeading1"/>
        <w:ind w:left="0" w:firstLine="0"/>
      </w:pPr>
      <w:r>
        <w:t>II. İLGİLİ İÇ HUKUK</w:t>
      </w:r>
    </w:p>
    <w:p w:rsidR="00F25813" w:rsidRPr="007C6A77" w:rsidRDefault="00F25813" w:rsidP="00F25813">
      <w:pPr>
        <w:pStyle w:val="ECHRHeading2"/>
      </w:pPr>
      <w:r>
        <w:t>A. Suçluların iadesi</w:t>
      </w:r>
    </w:p>
    <w:p w:rsidR="00F25813" w:rsidRPr="007C6A77" w:rsidRDefault="00BB2D2A" w:rsidP="00F25813">
      <w:pPr>
        <w:pStyle w:val="JuParaLast"/>
      </w:pPr>
      <w:r w:rsidRPr="007C6A77">
        <w:rPr>
          <w:rStyle w:val="JuParaCar"/>
        </w:rPr>
        <w:fldChar w:fldCharType="begin"/>
      </w:r>
      <w:r w:rsidR="00F25813" w:rsidRPr="007C6A77">
        <w:rPr>
          <w:rStyle w:val="JuParaCar"/>
        </w:rPr>
        <w:instrText xml:space="preserve"> SEQ level0 \*arabic </w:instrText>
      </w:r>
      <w:r w:rsidRPr="007C6A77">
        <w:rPr>
          <w:rStyle w:val="JuParaCar"/>
        </w:rPr>
        <w:fldChar w:fldCharType="separate"/>
      </w:r>
      <w:r w:rsidR="00332D11">
        <w:rPr>
          <w:rStyle w:val="JuParaCar"/>
          <w:noProof/>
        </w:rPr>
        <w:t>137</w:t>
      </w:r>
      <w:r w:rsidRPr="007C6A77">
        <w:rPr>
          <w:rStyle w:val="JuParaCar"/>
        </w:rPr>
        <w:fldChar w:fldCharType="end"/>
      </w:r>
      <w:r w:rsidR="00F25813">
        <w:rPr>
          <w:rStyle w:val="JuParaCar"/>
        </w:rPr>
        <w:t>.  Önceki Türk Ceza Kanununun (765 sayılı Kanun) 9. maddesinin 1. fıkrası şu şekildedir:</w:t>
      </w:r>
    </w:p>
    <w:p w:rsidR="00F25813" w:rsidRPr="007C6A77" w:rsidRDefault="00F25813" w:rsidP="00A936F2">
      <w:pPr>
        <w:pStyle w:val="ECHRParaQuote"/>
      </w:pPr>
      <w:r>
        <w:t>“Bir cürümden dolayı bir Türkün ecnebi devletlere iadesi talebi devletçe kabul olunamaz.”</w:t>
      </w:r>
    </w:p>
    <w:bookmarkStart w:id="47" w:name="TURCC2"/>
    <w:p w:rsidR="00F25813" w:rsidRPr="007C6A77" w:rsidRDefault="00BB2D2A" w:rsidP="00F25813">
      <w:pPr>
        <w:pStyle w:val="JuParaLast"/>
      </w:pPr>
      <w:r w:rsidRPr="007C6A77">
        <w:rPr>
          <w:rStyle w:val="JuParaCar"/>
        </w:rPr>
        <w:fldChar w:fldCharType="begin"/>
      </w:r>
      <w:r w:rsidR="00F25813" w:rsidRPr="007C6A77">
        <w:rPr>
          <w:rStyle w:val="JuParaCar"/>
        </w:rPr>
        <w:instrText xml:space="preserve"> SEQ level0 \*arabic </w:instrText>
      </w:r>
      <w:r w:rsidRPr="007C6A77">
        <w:rPr>
          <w:rStyle w:val="JuParaCar"/>
        </w:rPr>
        <w:fldChar w:fldCharType="separate"/>
      </w:r>
      <w:r w:rsidR="00332D11">
        <w:rPr>
          <w:rStyle w:val="JuParaCar"/>
          <w:noProof/>
        </w:rPr>
        <w:t>138</w:t>
      </w:r>
      <w:r w:rsidRPr="007C6A77">
        <w:rPr>
          <w:rStyle w:val="JuParaCar"/>
        </w:rPr>
        <w:fldChar w:fldCharType="end"/>
      </w:r>
      <w:bookmarkEnd w:id="47"/>
      <w:r w:rsidR="00F25813">
        <w:rPr>
          <w:rStyle w:val="JuParaCar"/>
        </w:rPr>
        <w:t>.  1 Haziran 2005</w:t>
      </w:r>
      <w:r w:rsidR="00F25813">
        <w:t xml:space="preserve"> tarihinde yeni Ceza Kanunu (5237 sayılı Kanun) yürürlüğe girmiştir.</w:t>
      </w:r>
      <w:r w:rsidR="00F25813">
        <w:rPr>
          <w:rStyle w:val="JuParaCar"/>
        </w:rPr>
        <w:t xml:space="preserve"> 18. maddenin 2. fıkrası aşağıdaki şekilde düzenlenmiştir:</w:t>
      </w:r>
    </w:p>
    <w:p w:rsidR="00F25813" w:rsidRPr="007C6A77" w:rsidRDefault="00F25813" w:rsidP="00A936F2">
      <w:pPr>
        <w:pStyle w:val="ECHRParaQuote"/>
        <w:rPr>
          <w:rFonts w:ascii="Times New Roman" w:hAnsi="Times New Roman"/>
        </w:rPr>
      </w:pPr>
      <w:r>
        <w:t>“[Türkiye’nin] Uluslararası Ceza Divanına taraf olmanın gerektirdiği yükümlülükler hariç olmak üzere, vatandaş suç sebebiyle yabancı bir ülkeye verilemez.”</w:t>
      </w:r>
    </w:p>
    <w:p w:rsidR="00F25813" w:rsidRPr="007C6A77" w:rsidRDefault="00BB2D2A" w:rsidP="00F25813">
      <w:pPr>
        <w:pStyle w:val="ECHRPara"/>
        <w:rPr>
          <w:rStyle w:val="JuParaCar"/>
        </w:rPr>
      </w:pPr>
      <w:r w:rsidRPr="007C6A77">
        <w:rPr>
          <w:rStyle w:val="JuParaCar"/>
        </w:rPr>
        <w:fldChar w:fldCharType="begin"/>
      </w:r>
      <w:r w:rsidR="00F25813" w:rsidRPr="007C6A77">
        <w:rPr>
          <w:rStyle w:val="JuParaCar"/>
        </w:rPr>
        <w:instrText xml:space="preserve"> SEQ level0 \*arabic </w:instrText>
      </w:r>
      <w:r w:rsidRPr="007C6A77">
        <w:rPr>
          <w:rStyle w:val="JuParaCar"/>
        </w:rPr>
        <w:fldChar w:fldCharType="separate"/>
      </w:r>
      <w:r w:rsidR="00332D11">
        <w:rPr>
          <w:rStyle w:val="JuParaCar"/>
          <w:noProof/>
        </w:rPr>
        <w:t>139</w:t>
      </w:r>
      <w:r w:rsidRPr="007C6A77">
        <w:rPr>
          <w:rStyle w:val="JuParaCar"/>
        </w:rPr>
        <w:fldChar w:fldCharType="end"/>
      </w:r>
      <w:r w:rsidR="00F25813">
        <w:rPr>
          <w:rStyle w:val="JuParaCar"/>
        </w:rPr>
        <w:t>.  5 Mayıs 2016 tarihinde yürürlüğe giren Cezai Konularda Uluslararası Adli İşbirliği Kanunu (6706 sayılı Kanun), 5237 sayılı Kanunun 18. maddesinin yerine geçmiştir.. Türk vatandaşlarının iadesine ilişkin olan 11. maddenin 1. fıkrasının (a) bendi şu şekildedir:</w:t>
      </w:r>
    </w:p>
    <w:p w:rsidR="00F25813" w:rsidRPr="007C6A77" w:rsidRDefault="00F25813" w:rsidP="00A936F2">
      <w:pPr>
        <w:pStyle w:val="ECHRParaQuote"/>
      </w:pPr>
      <w:r>
        <w:t>“1. Aşağıda sayılan hâllerde iade talebi kabul edilmez:</w:t>
      </w:r>
    </w:p>
    <w:p w:rsidR="00F25813" w:rsidRPr="007C6A77" w:rsidRDefault="00F25813" w:rsidP="00A936F2">
      <w:pPr>
        <w:pStyle w:val="ECHRParaQuote"/>
      </w:pPr>
      <w:r>
        <w:t>a) [Türkiye’nin] Uluslararası Ceza Divanına taraf olmanın gerektirdiği yükümlülükler hariç olmak üzere, iadesi talep edilen kişinin Türk vatandaşı olması;…”</w:t>
      </w:r>
    </w:p>
    <w:bookmarkStart w:id="48" w:name="TRNCEXT"/>
    <w:p w:rsidR="00F25813" w:rsidRPr="007C6A77" w:rsidRDefault="00BB2D2A" w:rsidP="00F25813">
      <w:pPr>
        <w:pStyle w:val="JuParaLast"/>
        <w:rPr>
          <w:szCs w:val="24"/>
        </w:rPr>
      </w:pPr>
      <w:r w:rsidRPr="007C6A77">
        <w:fldChar w:fldCharType="begin"/>
      </w:r>
      <w:r w:rsidR="00F25813" w:rsidRPr="007C6A77">
        <w:instrText xml:space="preserve"> SEQ level0 \*arabic </w:instrText>
      </w:r>
      <w:r w:rsidRPr="007C6A77">
        <w:fldChar w:fldCharType="separate"/>
      </w:r>
      <w:r w:rsidR="00332D11">
        <w:rPr>
          <w:noProof/>
        </w:rPr>
        <w:t>140</w:t>
      </w:r>
      <w:r w:rsidRPr="007C6A77">
        <w:fldChar w:fldCharType="end"/>
      </w:r>
      <w:bookmarkEnd w:id="48"/>
      <w:r w:rsidR="00F25813">
        <w:t>.  </w:t>
      </w:r>
      <w:r w:rsidR="008B4471">
        <w:t>”KKTC”</w:t>
      </w:r>
      <w:r w:rsidR="00F25813">
        <w:t>nin Suçluların Geri Verilmesi, Mahkeme İlâmlarının Karşılıklı Tenfizi ve Adli Yardımlaşma Yasasının 5. Bölümüne göre (43/1988 sayılı Kanun), ilgili olduğu kadarıyla, diğerlerinin yanı sıra, geri verilmesi istenen kişi, istenilen taraf uyruğu ise (bölüm 5(1)(C)) veya geri verme isteminin konusu olan suç, tamamen veya kısmen, istenilen tarafın ülkesinde veya kaza yetkisine tabi bir yerde işlenmişse (bölüm 5(1)(F)), geri verme reddedilmektedir.</w:t>
      </w:r>
      <w:r w:rsidR="00F25813">
        <w:rPr>
          <w:rFonts w:ascii="Times New Roman" w:hAnsi="Times New Roman"/>
        </w:rPr>
        <w:t xml:space="preserve"> </w:t>
      </w:r>
      <w:r w:rsidR="00F25813">
        <w:t>Yukarıda bahsedilen yasanın 19. bölümü mütekabiliyet ilkesini dikkate al</w:t>
      </w:r>
      <w:r w:rsidR="00923162">
        <w:t>makta</w:t>
      </w:r>
      <w:r w:rsidR="00F25813">
        <w:t xml:space="preserve"> ve bu yasanın kendi alanına giren konulara ilişkin olarak </w:t>
      </w:r>
      <w:r w:rsidR="008B4471">
        <w:t>“KKTC”</w:t>
      </w:r>
      <w:r w:rsidR="00F25813">
        <w:t xml:space="preserve"> ile anlaşmalar imzalayan ülkeler hususunda mütekabiliyet temelinde uygulanacağını belirtmektedir.</w:t>
      </w:r>
    </w:p>
    <w:p w:rsidR="00F25813" w:rsidRPr="007C6A77" w:rsidRDefault="00F25813" w:rsidP="00F25813">
      <w:pPr>
        <w:pStyle w:val="ECHRHeading2"/>
        <w:ind w:left="0" w:firstLine="284"/>
      </w:pPr>
      <w:r>
        <w:t>Cezai Yargı Yetkisi</w:t>
      </w:r>
    </w:p>
    <w:bookmarkStart w:id="49" w:name="TRNCCRI1"/>
    <w:p w:rsidR="00F25813" w:rsidRPr="007C6A77" w:rsidRDefault="00BB2D2A" w:rsidP="00AF047A">
      <w:pPr>
        <w:pStyle w:val="ECHRPara"/>
      </w:pPr>
      <w:r w:rsidRPr="007C6A77">
        <w:fldChar w:fldCharType="begin"/>
      </w:r>
      <w:r w:rsidR="00F25813" w:rsidRPr="007C6A77">
        <w:instrText xml:space="preserve"> SEQ level0 \*arabic </w:instrText>
      </w:r>
      <w:r w:rsidRPr="007C6A77">
        <w:fldChar w:fldCharType="separate"/>
      </w:r>
      <w:r w:rsidR="00332D11">
        <w:rPr>
          <w:noProof/>
        </w:rPr>
        <w:t>141</w:t>
      </w:r>
      <w:r w:rsidRPr="007C6A77">
        <w:fldChar w:fldCharType="end"/>
      </w:r>
      <w:bookmarkEnd w:id="49"/>
      <w:r w:rsidR="00F25813">
        <w:t xml:space="preserve">.  Kıbrıs Cumhuriyeti kanuna göre, Ağır Ceza Mahkemeleri, Ceza Kanunu ya da Kıbrıs Cumhuriyeti sınırları </w:t>
      </w:r>
      <w:r w:rsidR="007F3C38">
        <w:t>dâhil</w:t>
      </w:r>
      <w:r w:rsidR="00F25813">
        <w:t>inde işlenen diğer herhangi bir kanunla cezalandırılabilecek tüm suçları yargılama yetkisine sahiptir (1960 (14/1960) sayılı Adalet Mahkemeleri Yasası 20 (1) (a) maddesi).</w:t>
      </w:r>
    </w:p>
    <w:p w:rsidR="00F25813" w:rsidRPr="007C6A77" w:rsidRDefault="00BB2D2A" w:rsidP="00F25813">
      <w:pPr>
        <w:pStyle w:val="ECHRPara"/>
      </w:pPr>
      <w:r w:rsidRPr="007C6A77">
        <w:rPr>
          <w:szCs w:val="24"/>
        </w:rPr>
        <w:fldChar w:fldCharType="begin"/>
      </w:r>
      <w:r w:rsidR="00F25813" w:rsidRPr="007C6A77">
        <w:rPr>
          <w:szCs w:val="24"/>
        </w:rPr>
        <w:instrText xml:space="preserve"> SEQ level0 \*arabic </w:instrText>
      </w:r>
      <w:r w:rsidRPr="007C6A77">
        <w:rPr>
          <w:szCs w:val="24"/>
        </w:rPr>
        <w:fldChar w:fldCharType="separate"/>
      </w:r>
      <w:r w:rsidR="00332D11">
        <w:rPr>
          <w:noProof/>
          <w:szCs w:val="24"/>
        </w:rPr>
        <w:t>142</w:t>
      </w:r>
      <w:r w:rsidRPr="007C6A77">
        <w:rPr>
          <w:szCs w:val="24"/>
        </w:rPr>
        <w:fldChar w:fldCharType="end"/>
      </w:r>
      <w:r w:rsidR="00F25813">
        <w:t>.  16 Ağustos 1960 tarihli Kıbrıs Cumhuriyeti Anayasası uyarınca, “sanığın ve yaralanan kişinin aynı Top</w:t>
      </w:r>
      <w:r w:rsidR="008F6FAB">
        <w:t xml:space="preserve">luma </w:t>
      </w:r>
      <w:r w:rsidR="00F25813">
        <w:rPr>
          <w:rStyle w:val="DipnotBavurusu"/>
        </w:rPr>
        <w:footnoteReference w:id="1"/>
      </w:r>
      <w:r w:rsidR="00F25813">
        <w:t xml:space="preserve">ait olduğu veya yaralanan kimsenin bulunmadığı durumlarda cezai yargı yetkisi kullanan bir mahkeme, </w:t>
      </w:r>
      <w:r w:rsidR="00E154EF">
        <w:t>sözkonusu</w:t>
      </w:r>
      <w:r w:rsidR="00F25813">
        <w:t xml:space="preserve"> Toplu</w:t>
      </w:r>
      <w:r w:rsidR="008F6FAB">
        <w:t>ma</w:t>
      </w:r>
      <w:r w:rsidR="00F25813">
        <w:t xml:space="preserve"> ait bir yargıç veya </w:t>
      </w:r>
      <w:r w:rsidR="001C24C4">
        <w:t>yargıçlardan</w:t>
      </w:r>
      <w:r w:rsidR="00F25813">
        <w:t xml:space="preserve"> oluşur” (Madde 159(2)). 1963’teki toplumlar arası sorunları takiben, acil bir durumu ele almak ve devam eden adalet yönetimi için gerekli adli mekanizmaları kurmak amacıyla </w:t>
      </w:r>
      <w:r w:rsidR="00EF1360">
        <w:t xml:space="preserve">Adaletin Yönetimi </w:t>
      </w:r>
      <w:r w:rsidR="00F25813">
        <w:t xml:space="preserve">(Muhtelif Hükümler) Yasası (“33/1964 sayılı Kanun”) çıkarılmıştır (bk. </w:t>
      </w:r>
      <w:r w:rsidR="00F25813">
        <w:rPr>
          <w:rStyle w:val="ECHRParaChar"/>
          <w:i/>
        </w:rPr>
        <w:t>Kamenos / Kıbrıs</w:t>
      </w:r>
      <w:r w:rsidR="00F25813">
        <w:t xml:space="preserve">, </w:t>
      </w:r>
      <w:r w:rsidR="00964336">
        <w:t>No.</w:t>
      </w:r>
      <w:r w:rsidR="00F25813">
        <w:t xml:space="preserve"> 147/07, § 34, 31 Ekim 2017). </w:t>
      </w:r>
      <w:r w:rsidR="001C24C4" w:rsidRPr="001C24C4">
        <w:t xml:space="preserve">Bu yasanın 12. maddesi uyarınca, herhangi </w:t>
      </w:r>
      <w:r w:rsidR="001C24C4">
        <w:t>bir alt mahkeme</w:t>
      </w:r>
      <w:r w:rsidR="00C8776F">
        <w:t xml:space="preserve">, davacıların </w:t>
      </w:r>
      <w:r w:rsidR="00C8776F" w:rsidRPr="001C24C4">
        <w:t>Topluluğuna bakılmaksızın</w:t>
      </w:r>
      <w:r w:rsidR="00321A66">
        <w:t xml:space="preserve"> ve</w:t>
      </w:r>
      <w:r w:rsidR="00C8776F">
        <w:t xml:space="preserve"> </w:t>
      </w:r>
      <w:r w:rsidR="00321A66">
        <w:t>Yüksek Mahkeme</w:t>
      </w:r>
      <w:r w:rsidR="00321A66" w:rsidRPr="001C24C4">
        <w:t xml:space="preserve">nin </w:t>
      </w:r>
      <w:r w:rsidR="00CF5ABE">
        <w:t>verebileceği talimata göre</w:t>
      </w:r>
      <w:r w:rsidR="00321A66">
        <w:t xml:space="preserve"> </w:t>
      </w:r>
      <w:r w:rsidR="00C8776F">
        <w:t>sözkonusu yargıç veya yargıçlardan oluşur</w:t>
      </w:r>
      <w:r w:rsidR="00CF5ABE">
        <w:t xml:space="preserve"> ve</w:t>
      </w:r>
      <w:r w:rsidR="001C24C4" w:rsidRPr="001C24C4">
        <w:t xml:space="preserve"> herhangi bir </w:t>
      </w:r>
      <w:r w:rsidR="00EF1360">
        <w:t>Kaza Mahkemesi</w:t>
      </w:r>
      <w:r w:rsidR="001C24C4" w:rsidRPr="001C24C4">
        <w:t xml:space="preserve"> </w:t>
      </w:r>
      <w:r w:rsidR="00CF5ABE">
        <w:t>Yargıcı</w:t>
      </w:r>
      <w:r w:rsidR="001C24C4" w:rsidRPr="001C24C4">
        <w:t xml:space="preserve">, </w:t>
      </w:r>
      <w:r w:rsidR="004B2EC6">
        <w:t xml:space="preserve">kendi </w:t>
      </w:r>
      <w:r w:rsidR="001C24C4" w:rsidRPr="001C24C4">
        <w:t>yargı yetkisine göre</w:t>
      </w:r>
      <w:r w:rsidR="00FC42BD">
        <w:t>,</w:t>
      </w:r>
      <w:r w:rsidR="001C24C4" w:rsidRPr="001C24C4">
        <w:t xml:space="preserve"> </w:t>
      </w:r>
      <w:r w:rsidR="00CF5ABE">
        <w:t xml:space="preserve">davacıların </w:t>
      </w:r>
      <w:r w:rsidR="00CF5ABE" w:rsidRPr="001C24C4">
        <w:t>Toplu</w:t>
      </w:r>
      <w:r w:rsidR="00EF1360">
        <w:t>muna</w:t>
      </w:r>
      <w:r w:rsidR="00CF5ABE" w:rsidRPr="001C24C4">
        <w:t xml:space="preserve"> bakılmaksızın </w:t>
      </w:r>
      <w:r w:rsidR="001C24C4" w:rsidRPr="001C24C4">
        <w:t>herhangi bir davay</w:t>
      </w:r>
      <w:r w:rsidR="00FC42BD">
        <w:t>a bakabilir ve davay</w:t>
      </w:r>
      <w:r w:rsidR="001C24C4" w:rsidRPr="001C24C4">
        <w:t xml:space="preserve">ı </w:t>
      </w:r>
      <w:r w:rsidR="00FC42BD">
        <w:t>sonuçlandırabilir</w:t>
      </w:r>
      <w:r w:rsidR="00A17839">
        <w:t xml:space="preserve">. </w:t>
      </w:r>
      <w:r w:rsidR="00F25813">
        <w:t>Ağır Ceza Mahkemelerinin kurulması, düzenlenmesi ve yargı yetkisi ile ilgili hükümler, Adalet</w:t>
      </w:r>
      <w:r w:rsidR="00765386">
        <w:t xml:space="preserve">in Yönetimi </w:t>
      </w:r>
      <w:r w:rsidR="00F25813">
        <w:t xml:space="preserve">Yasası </w:t>
      </w:r>
      <w:r w:rsidR="00964336">
        <w:t>No.</w:t>
      </w:r>
      <w:r w:rsidR="00F25813">
        <w:t xml:space="preserve"> 14/1960</w:t>
      </w:r>
      <w:r w:rsidR="0004359C">
        <w:t>’te bulunabilir</w:t>
      </w:r>
      <w:r w:rsidR="00F25813">
        <w:t xml:space="preserve"> (tadil edildiği şekliyle - bölüm 3, 5 ve 20).</w:t>
      </w:r>
    </w:p>
    <w:p w:rsidR="00F25813" w:rsidRPr="007C6A77" w:rsidRDefault="00BB2D2A" w:rsidP="00F25813">
      <w:pPr>
        <w:pStyle w:val="ECHRPara"/>
        <w:rPr>
          <w:strike/>
        </w:rPr>
      </w:pPr>
      <w:r w:rsidRPr="007C6A77">
        <w:fldChar w:fldCharType="begin"/>
      </w:r>
      <w:r w:rsidR="00F25813" w:rsidRPr="007C6A77">
        <w:instrText xml:space="preserve"> SEQ level0 \*arabic </w:instrText>
      </w:r>
      <w:r w:rsidRPr="007C6A77">
        <w:fldChar w:fldCharType="separate"/>
      </w:r>
      <w:r w:rsidR="00332D11">
        <w:rPr>
          <w:noProof/>
        </w:rPr>
        <w:t>143</w:t>
      </w:r>
      <w:r w:rsidRPr="007C6A77">
        <w:fldChar w:fldCharType="end"/>
      </w:r>
      <w:r w:rsidR="00F25813">
        <w:t>.  </w:t>
      </w:r>
      <w:r w:rsidR="007369E8" w:rsidRPr="007369E8">
        <w:t>“</w:t>
      </w:r>
      <w:r w:rsidR="008B4471">
        <w:t>KKTC”</w:t>
      </w:r>
      <w:r w:rsidRPr="009E3740">
        <w:t xml:space="preserve"> Mahkemeleri Yasasının (9/1976 sayılı Yasa) 31(1) bölümü, anayasal yükümlülüklere halel getirmeksizin, uygun Ağır Ceza Mahkemesinin, diğerlerinin yanı sıra, (a) </w:t>
      </w:r>
      <w:r w:rsidR="008B4471">
        <w:t>“KKTC”</w:t>
      </w:r>
      <w:r w:rsidRPr="009E3740">
        <w:t xml:space="preserve">de (Bölüm 31(1)(a)); veya (b) </w:t>
      </w:r>
      <w:r w:rsidR="008B4471">
        <w:t>“KKTC”</w:t>
      </w:r>
      <w:r w:rsidRPr="009E3740">
        <w:t xml:space="preserve"> dışında ancak Kıbrıs adasında (Bölüm 31(1)(b)) işlenen ve ceza kanununa veya başka bir kanuna göre cezalandırılabilir suçlara ilişkin davalara bakmaya yetkili olduğunu ifade etmektedir.</w:t>
      </w:r>
    </w:p>
    <w:p w:rsidR="00F25813" w:rsidRPr="007C6A77" w:rsidRDefault="00F25813" w:rsidP="00F25813">
      <w:pPr>
        <w:pStyle w:val="ECHRHeading1"/>
        <w:ind w:left="0" w:firstLine="0"/>
      </w:pPr>
      <w:r>
        <w:t>III. İLGİLİ ULUSLARARASI HUKUK VE UYGULAMASI</w:t>
      </w:r>
    </w:p>
    <w:p w:rsidR="00F25813" w:rsidRPr="007C6A77" w:rsidRDefault="00F25813" w:rsidP="00F25813">
      <w:pPr>
        <w:pStyle w:val="ECHRHeading2"/>
      </w:pPr>
      <w:r>
        <w:t>Suçluların iadesine ilişkin Avrupa Konseyi belgeleri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144</w:t>
      </w:r>
      <w:r w:rsidRPr="007C6A77">
        <w:fldChar w:fldCharType="end"/>
      </w:r>
      <w:r w:rsidR="00F25813">
        <w:t xml:space="preserve">.  13 Aralık 1957 tarihli Suçluların İadesine Dair Avrupa Sözleşmesi (“Suçluların İadesi Sözleşmesi”), 7 Ocak 1960 tarihinde Türkiye tarafından onaylanmış ve 18 Nisan 1960 tarihinde Türkiye’de yürürlüğe girmiştir. Sözleşme’ye Ek dört Protokol 10 Temmuz 1992 (İkinci Protokol) ve 11 Temmuz 2016 (Ek, Üçüncü ve Dördüncü Protokoller) tarihlerinde onaylanmış ve Türkiye’de 8 Ekim 1992 (İkinci Protokol), 9 Ekim 2016 (Ek Protokol) ve 1 Kasım 2016 (Üçüncü ve Dördüncü Protokoller) tarihlerinde yürürlüğe girmiştir. Türkiye, Kıbrıs Cumhuriyeti ile ilgili olan Üçüncü ve Dördüncü Ek Protokoller bağlamında bir beyanda bulunmuştur. Bu beyanda, yukarıda bahsi geçen Protokolleri onaylamış olmalarının “ne Kıbrıs Rum Yönetimi’nin geçerliliğini yitirmiş “Kıbrıs Cumhuriyeti’nin” </w:t>
      </w:r>
      <w:r w:rsidR="00E154EF">
        <w:t>sözkonusu</w:t>
      </w:r>
      <w:r w:rsidR="00F25813">
        <w:t xml:space="preserve"> belgelere taraf olduğunun tanınmasına ilişkin bir durum teşkil ettiğini” ne de “</w:t>
      </w:r>
      <w:r w:rsidR="00E154EF">
        <w:t>sözkonusu</w:t>
      </w:r>
      <w:r w:rsidR="00F25813">
        <w:t xml:space="preserve"> belgeler çerçevesinde Türkiye’nin sözde Kıbrıs Cumhuriyeti ile herhangi bir anlaşmaya girmesine ilişkin herhangi bir yükümlülük ima ettiğini” belirtmiştir.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145</w:t>
      </w:r>
      <w:r w:rsidRPr="007C6A77">
        <w:fldChar w:fldCharType="end"/>
      </w:r>
      <w:r w:rsidR="00F25813">
        <w:t>.  Bu Sözleşme 22 Ocak 1971 tarihinde Kıbrıs tarafından onaylanmış ve 22 Nisan 1971 tarihinde Kıbrıs’ta yürürlüğe girmiştir. Sözleşme’ye Ek Birinci, İkinci ve Üçüncü Protokoller de Kıbrıs tarafından 22 Mayıs 1979, 13 Nisan 1984 ve 7 Şubat 2014 tarihlerinde onaylanmış ve sırasıyla 20 Ağustos 1979, 12 Temmuz 1984 ve 1 Haziran 2014 tarihlerinde yürürlüğe girmiştir. 6 Aralık 2016 tarihinde Kıbrıs, Türkiye’nin yukarıdaki beyanlarının (bk. yukarıdaki 144. Paragraf), esas olarak Protokollerin hedef ve amacına aykırı bir çekinceyle eşdeğer olduğunu ve Taraf Devletler arasındaki işbirliğinin gerçekleştirilmesini engellediğini belirterek sözkonusu beyanlara itiraz etmiştir. Kıbrıs, Türkiye’nin beyanlarının hükümsüz olarak değerlendirdiğini ve itirazının, Kıbrıs Cumhuriyeti ile Türkiye arasındaki ilgili Protokollerin, kendi bütünlükleri içerisinde, yürürlüğe girmesini engellememesi gerektiğini eklemiştir.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146</w:t>
      </w:r>
      <w:r w:rsidRPr="007C6A77">
        <w:fldChar w:fldCharType="end"/>
      </w:r>
      <w:r w:rsidR="00F25813">
        <w:t>.  Suçluların İadesi Sözleşmesi, Avrupa Konseyinin tüm üye Devletlerince onaylanmıştır.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147</w:t>
      </w:r>
      <w:r w:rsidRPr="007C6A77">
        <w:fldChar w:fldCharType="end"/>
      </w:r>
      <w:r w:rsidR="00F25813">
        <w:t>.  Bu Sözleşme’nin ilgili hükümleri aşağıdaki şekildedir:</w:t>
      </w:r>
    </w:p>
    <w:p w:rsidR="00F25813" w:rsidRPr="007C6A77" w:rsidRDefault="00F25813" w:rsidP="00356532">
      <w:pPr>
        <w:pStyle w:val="ECHRTitleCentre3"/>
      </w:pPr>
      <w:r>
        <w:t>Madde 1 – Suçluyu İade Mecburiyeti</w:t>
      </w:r>
    </w:p>
    <w:p w:rsidR="00F25813" w:rsidRPr="007C6A77" w:rsidRDefault="00F25813" w:rsidP="00A936F2">
      <w:pPr>
        <w:pStyle w:val="ECHRParaQuote"/>
      </w:pPr>
      <w:r>
        <w:t>“Akit Taraflar, işbu Sözleşme’de tayin edilen hüküm ve koşullara bağlı olarak, iadeyi talep eden Tarafın yetkili makamlarınca bir suç nedeniyle aleyhinde dava açılan veya bir ceza veya tutuklama kararının infazı için aranan bütün şahısları birbirlerine teslim etmeyi taahhüt ederler.”</w:t>
      </w:r>
    </w:p>
    <w:p w:rsidR="00F25813" w:rsidRPr="007C6A77" w:rsidRDefault="00F25813" w:rsidP="00356532">
      <w:pPr>
        <w:pStyle w:val="ECHRTitleCentre3"/>
      </w:pPr>
      <w:r>
        <w:t>Madde 2 – Suçluların İadesini Gerektiren Suçlar</w:t>
      </w:r>
    </w:p>
    <w:p w:rsidR="00F25813" w:rsidRPr="007C6A77" w:rsidRDefault="00F25813" w:rsidP="00A936F2">
      <w:pPr>
        <w:pStyle w:val="ECHRParaQuote"/>
      </w:pPr>
      <w:r>
        <w:t xml:space="preserve">“1. Gerek iadeyi talep eden Tarafın ve gerek kendisinden iade talep edilen Tarafın kanunlarınca en aşağı bir sene süreyle hürriyeti bağlayıcı nitelikteki cezayı veya tutuklama kararını veya daha ağır bir cezayı mucip fiillere ilişkin olarak suçluların iadesi gerçekleştirilir. İadeyi talep eden Tarafın ülkesinde bir </w:t>
      </w:r>
      <w:r w:rsidR="000E2EA9">
        <w:t>mahkûmiyet</w:t>
      </w:r>
      <w:r>
        <w:t xml:space="preserve"> hükmü ve hapis cezası veya bir tutuklama kararı verilmişse, verilen ceza en az dört aylık olmalıdır.</w:t>
      </w:r>
    </w:p>
    <w:p w:rsidR="00F25813" w:rsidRPr="007C6A77" w:rsidRDefault="00F25813" w:rsidP="00A936F2">
      <w:pPr>
        <w:pStyle w:val="ECHRParaQuote"/>
      </w:pPr>
      <w:r>
        <w:t>…”</w:t>
      </w:r>
    </w:p>
    <w:p w:rsidR="00F25813" w:rsidRPr="007C6A77" w:rsidRDefault="00F25813" w:rsidP="00356532">
      <w:pPr>
        <w:pStyle w:val="ECHRTitleCentre3"/>
        <w:rPr>
          <w:rFonts w:ascii="Times New Roman" w:eastAsia="Times New Roman" w:hAnsi="Times New Roman" w:cs="Times New Roman"/>
        </w:rPr>
      </w:pPr>
      <w:r>
        <w:t>Madde 6 – Vatandaşların İadesi</w:t>
      </w:r>
    </w:p>
    <w:p w:rsidR="00F25813" w:rsidRPr="007C6A77" w:rsidRDefault="00F25813" w:rsidP="00A936F2">
      <w:pPr>
        <w:pStyle w:val="ECHRParaQuote"/>
      </w:pPr>
      <w:r>
        <w:t>“1. Her Akit Taraf vatandaşlarını iade etmeme hakkına sahiptir.</w:t>
      </w:r>
    </w:p>
    <w:p w:rsidR="00F25813" w:rsidRPr="007C6A77" w:rsidRDefault="00F25813" w:rsidP="007C6A77">
      <w:pPr>
        <w:pStyle w:val="ECHRParaQuote"/>
        <w:rPr>
          <w:rStyle w:val="normal10"/>
          <w:highlight w:val="yellow"/>
        </w:rPr>
      </w:pPr>
      <w:r>
        <w:t>Her Akit Taraf imza veya onay veya katılım belgesini tevdii esnasında yapacağı bir beyanla ‘vatandaşlar’ ifadesini işbu Sözleşme’nin kapsamında kendisi tarif edebilir.</w:t>
      </w:r>
    </w:p>
    <w:p w:rsidR="00F25813" w:rsidRPr="007C6A77" w:rsidRDefault="00F25813" w:rsidP="00A936F2">
      <w:pPr>
        <w:pStyle w:val="ECHRParaQuote"/>
      </w:pPr>
      <w:r>
        <w:t>...</w:t>
      </w:r>
    </w:p>
    <w:p w:rsidR="00F25813" w:rsidRPr="007C6A77" w:rsidRDefault="00F25813" w:rsidP="00A936F2">
      <w:pPr>
        <w:pStyle w:val="ECHRParaQuote"/>
        <w:rPr>
          <w:rFonts w:eastAsia="Times New Roman"/>
        </w:rPr>
      </w:pPr>
      <w:r>
        <w:t>2.</w:t>
      </w:r>
      <w:r>
        <w:rPr>
          <w:rFonts w:ascii="Arial" w:hAnsi="Arial"/>
        </w:rPr>
        <w:t xml:space="preserve"> </w:t>
      </w:r>
      <w:r>
        <w:t>Kendisinden iade talep edilen Taraf vatandaşını iade etmediği takdirde, talep edilen Tarafın isteği üzerine, mahal varsa adli takibat yapılabilmek üzere meseleyi alakalı</w:t>
      </w:r>
      <w:r w:rsidR="00E37C0E">
        <w:t xml:space="preserve"> </w:t>
      </w:r>
      <w:r>
        <w:t xml:space="preserve">makamlara </w:t>
      </w:r>
      <w:r>
        <w:br/>
        <w:t>intikal ettirmelidir. Bunun için suçla ilgili dosyalar, bilgi ve belgeler, 12. maddenin 1. fıkrasında belirtilen şekilde masrafsız yollanır. İade talep eden Taraf, talebi üzerine sonuçla ilgili olarak bilgilendirilir.”</w:t>
      </w:r>
    </w:p>
    <w:p w:rsidR="00F25813" w:rsidRPr="007C6A77" w:rsidRDefault="00F25813" w:rsidP="00356532">
      <w:pPr>
        <w:pStyle w:val="ECHRTitleCentre3"/>
        <w:rPr>
          <w:rFonts w:eastAsia="Times New Roman"/>
        </w:rPr>
      </w:pPr>
      <w:r>
        <w:t>Madde 12 – Talep ve destekleyici belgeler</w:t>
      </w:r>
    </w:p>
    <w:p w:rsidR="00F25813" w:rsidRPr="007C6A77" w:rsidRDefault="00F25813" w:rsidP="00A936F2">
      <w:pPr>
        <w:pStyle w:val="ECHRParaQuote"/>
        <w:rPr>
          <w:rFonts w:eastAsia="Times New Roman"/>
        </w:rPr>
      </w:pPr>
      <w:r>
        <w:t>“1. İade talebi yazılı olarak ve diplomatik yoldan yapılır. İki veya daha fazla Taraf arasında doğrudan doğruya anlaşma suretiyle diğer bir talep şekli tespit edilebilir.</w:t>
      </w:r>
    </w:p>
    <w:p w:rsidR="00F25813" w:rsidRPr="007C6A77" w:rsidRDefault="00F25813" w:rsidP="00A936F2">
      <w:pPr>
        <w:pStyle w:val="ECHRParaQuote"/>
        <w:rPr>
          <w:rFonts w:eastAsia="Times New Roman"/>
        </w:rPr>
      </w:pPr>
      <w:r>
        <w:t xml:space="preserve">2. İade talepnamesi aşağıdakiler ile </w:t>
      </w:r>
      <w:r w:rsidR="000E2EA9">
        <w:t>desteklenir:</w:t>
      </w:r>
    </w:p>
    <w:p w:rsidR="00F25813" w:rsidRPr="007C6A77" w:rsidRDefault="00F25813" w:rsidP="00A936F2">
      <w:pPr>
        <w:pStyle w:val="ECHRParaQuote"/>
        <w:rPr>
          <w:rFonts w:eastAsia="Times New Roman"/>
        </w:rPr>
      </w:pPr>
      <w:r>
        <w:t xml:space="preserve">İade talep eden Tarafın kanunlarında belirtilen usule uygun surette verilmiş ve derhal infaz edilebilir </w:t>
      </w:r>
      <w:r w:rsidR="000E2EA9">
        <w:t>mahkûmiyet</w:t>
      </w:r>
      <w:r>
        <w:t xml:space="preserve"> ve ceza hükmünün veya tutuklama kararının ya da yakalama emrinin veya aynı etkiye sahip diğer herhangi bir emrin aslı veya onaylı sureti;</w:t>
      </w:r>
    </w:p>
    <w:p w:rsidR="00F25813" w:rsidRPr="007C6A77" w:rsidRDefault="00F25813" w:rsidP="00A936F2">
      <w:pPr>
        <w:pStyle w:val="ECHRParaQuote"/>
        <w:rPr>
          <w:rFonts w:eastAsia="Times New Roman"/>
        </w:rPr>
      </w:pPr>
      <w:r>
        <w:t xml:space="preserve">İade talebine sebep olan suçlara ilişkin açıklama. Suçun işlendiği yer ve zaman, hukuki tavsifleri ve bunlara uygulanacak ilgili kanun hükümleri mümkün olduğu kadar </w:t>
      </w:r>
      <w:r w:rsidR="000E2EA9">
        <w:t>kesin bir</w:t>
      </w:r>
      <w:r>
        <w:t xml:space="preserve"> şekilde gösterilir; ve</w:t>
      </w:r>
    </w:p>
    <w:p w:rsidR="00F25813" w:rsidRPr="007C6A77" w:rsidRDefault="00F25813" w:rsidP="00A936F2">
      <w:pPr>
        <w:pStyle w:val="ECHRParaQuote"/>
        <w:rPr>
          <w:rFonts w:eastAsia="Times New Roman"/>
          <w:b/>
          <w:bCs/>
        </w:rPr>
      </w:pPr>
      <w:r>
        <w:t xml:space="preserve">Uygulanacak kanun metinlerinin bir örneği veya bu mümkün değilse, uygulanacak kanunların açıklanması ve ayrıca talep olunan şahsın mümkün olduğu kadar kesin </w:t>
      </w:r>
      <w:r w:rsidR="000E2EA9">
        <w:t>eşkâli</w:t>
      </w:r>
      <w:r>
        <w:t xml:space="preserve"> ile kimliğini ve vatandaşlığını tespite yarayacak diğer bütün bilgiler.”</w:t>
      </w:r>
    </w:p>
    <w:p w:rsidR="00F25813" w:rsidRPr="007C6A77" w:rsidRDefault="00F25813" w:rsidP="00482AB0">
      <w:pPr>
        <w:pStyle w:val="ECHRTitleCentre3"/>
        <w:rPr>
          <w:rFonts w:eastAsia="Times New Roman"/>
        </w:rPr>
      </w:pPr>
      <w:r>
        <w:t>Madde 13 – Ek Bilgi</w:t>
      </w:r>
    </w:p>
    <w:p w:rsidR="00F25813" w:rsidRPr="007C6A77" w:rsidRDefault="00F25813" w:rsidP="00A936F2">
      <w:pPr>
        <w:pStyle w:val="ECHRParaQuote"/>
        <w:rPr>
          <w:rFonts w:eastAsia="Times New Roman"/>
        </w:rPr>
      </w:pPr>
      <w:r>
        <w:t>“İade talep eden Tarafça verilen bilgi, kendisinden iade talep edilen Tarafın bu Sözleşme gereğince bir karar vermesi için yeterli görülmediği takdirde, bu taraf gerekli ek bilgileri talep eder ve bu bilgilerin alınması için bir süre</w:t>
      </w:r>
      <w:r w:rsidR="001E4E7C" w:rsidRPr="007C6A77">
        <w:rPr>
          <w:rFonts w:eastAsia="Times New Roman"/>
        </w:rPr>
        <w:sym w:font="Symbol" w:char="F02D"/>
      </w:r>
      <w:r>
        <w:t xml:space="preserve"> tespit edebilir.”</w:t>
      </w:r>
    </w:p>
    <w:p w:rsidR="00F25813" w:rsidRPr="007C6A77" w:rsidRDefault="00F25813" w:rsidP="00482AB0">
      <w:pPr>
        <w:pStyle w:val="ECHRTitleCentre3"/>
        <w:rPr>
          <w:rFonts w:eastAsia="Times New Roman"/>
        </w:rPr>
      </w:pPr>
      <w:r>
        <w:t>Madde 16 – Geçici Tutuklama</w:t>
      </w:r>
    </w:p>
    <w:p w:rsidR="00F25813" w:rsidRPr="007C6A77" w:rsidRDefault="00F25813" w:rsidP="00A936F2">
      <w:pPr>
        <w:pStyle w:val="ECHRParaQuote"/>
        <w:rPr>
          <w:rFonts w:eastAsia="Times New Roman"/>
        </w:rPr>
      </w:pPr>
      <w:r>
        <w:t>“1. Acil durumlarda, iade talep eden Tarafın yetkili makamları istenen şahsın geçici tutuklanmasını talep edebilir. İade talep eden Tarafın yetkili makamları, bu talep hakkında kendi kanunlarına uygun olarak karar verir.</w:t>
      </w:r>
    </w:p>
    <w:p w:rsidR="00F25813" w:rsidRPr="007C6A77" w:rsidRDefault="00F25813" w:rsidP="00A936F2">
      <w:pPr>
        <w:pStyle w:val="ECHRParaQuote"/>
        <w:rPr>
          <w:rFonts w:eastAsia="Times New Roman"/>
        </w:rPr>
      </w:pPr>
      <w:r>
        <w:t xml:space="preserve">2. Geçici tutuklama talebinde 12. maddenin 2. fıkrasının (a) bendinde belirtilen belgelerden birinin mevcut olduğu ve iade talebinde bulunulacağı belirtilir. Bu talepte, yapılacak iade talebine esas teşkil eden suç, bu suçun işlendiği yer ve tarih belirtilir ve istenen şahsın </w:t>
      </w:r>
      <w:r w:rsidR="007E5E1D">
        <w:t>eşkâli</w:t>
      </w:r>
      <w:r>
        <w:t xml:space="preserve"> </w:t>
      </w:r>
      <w:r w:rsidR="006515E8">
        <w:t>imkân</w:t>
      </w:r>
      <w:r>
        <w:t xml:space="preserve"> nispetinde tarif edilir.</w:t>
      </w:r>
    </w:p>
    <w:p w:rsidR="00F25813" w:rsidRPr="007C6A77" w:rsidRDefault="00F25813" w:rsidP="00A936F2">
      <w:pPr>
        <w:pStyle w:val="ECHRParaQuote"/>
        <w:rPr>
          <w:rFonts w:eastAsia="Times New Roman"/>
        </w:rPr>
      </w:pPr>
      <w:r>
        <w:t xml:space="preserve">3. Geçici tutuklama talebi, talep edilen Tarafın yetkili makamlarına diplomatik yoldan yapılabileceği gibi doğrudan doğruya posta veya telgraf yoluyla veya Uluslararası Kriminal Polis Teşkilatı (İnterpol) vasıtasıyla yahut yazıya </w:t>
      </w:r>
      <w:r w:rsidR="000E2EA9">
        <w:t>munkalip</w:t>
      </w:r>
      <w:r>
        <w:t xml:space="preserve"> olacak veya talep edilen Tarafça makbul görülecek herhangi bir vasıta ile yapılabilir. İade talep eden Taraf, talebinin sonucundan gecikmeksizin haberdar edilir.</w:t>
      </w:r>
    </w:p>
    <w:p w:rsidR="00F25813" w:rsidRPr="007C6A77" w:rsidRDefault="00F25813" w:rsidP="00A936F2">
      <w:pPr>
        <w:pStyle w:val="ECHRParaQuote"/>
        <w:rPr>
          <w:rFonts w:eastAsia="Times New Roman"/>
        </w:rPr>
      </w:pPr>
      <w:r>
        <w:t xml:space="preserve">4. Geçici tutuklama, tutuklamayı takip eden 18 günlük süre içinde talep edilen Tarafın iade talebini ve 12. maddede belirtilen belgeleri almamış olması halinde sona erdirilebilir. Geçici tutuklama hiçbir suretle </w:t>
      </w:r>
      <w:r w:rsidR="00E154EF">
        <w:t>sözkonusu</w:t>
      </w:r>
      <w:r>
        <w:t xml:space="preserve"> tutuklama tarihinden itibaren 40 günü aşamaz. Herhangi bir zamanda geçici serbest bırakma </w:t>
      </w:r>
      <w:r w:rsidR="000E2EA9">
        <w:t>imkân</w:t>
      </w:r>
      <w:r>
        <w:t xml:space="preserve"> dışı değildir; ancak talep edilen Taraf, istenen şahsın kaçmasına engel olmak için gerekli gördüğü her tedbiri alır.</w:t>
      </w:r>
    </w:p>
    <w:p w:rsidR="00F25813" w:rsidRPr="007C6A77" w:rsidRDefault="00F25813" w:rsidP="00A936F2">
      <w:pPr>
        <w:pStyle w:val="ECHRParaQuote"/>
        <w:rPr>
          <w:rFonts w:eastAsia="Times New Roman"/>
        </w:rPr>
      </w:pPr>
      <w:r>
        <w:t>5. Salıverilme, iade talebinin daha sonra alınması halinde yeni bir tutuklama ve iadeye engel olmaz.</w:t>
      </w:r>
    </w:p>
    <w:p w:rsidR="00F25813" w:rsidRPr="007C6A77" w:rsidRDefault="00F25813" w:rsidP="00356532">
      <w:pPr>
        <w:pStyle w:val="ECHRTitleCentre3"/>
      </w:pPr>
      <w:r>
        <w:t>Madde 18 – İade edilecek şahsın teslimi</w:t>
      </w:r>
    </w:p>
    <w:p w:rsidR="00F25813" w:rsidRPr="007C6A77" w:rsidRDefault="00F25813" w:rsidP="00A936F2">
      <w:pPr>
        <w:pStyle w:val="ECHRParaQuote"/>
      </w:pPr>
      <w:r>
        <w:t>“1. Kendisinden iade talep edilen Taraf iade hakkındaki kararını 12. maddenin 1. fıkrasında belirtilen yollardan talep eden Tarafa bildirir.</w:t>
      </w:r>
    </w:p>
    <w:p w:rsidR="00F25813" w:rsidRPr="007C6A77" w:rsidRDefault="00F25813" w:rsidP="00A936F2">
      <w:pPr>
        <w:pStyle w:val="ECHRParaQuote"/>
      </w:pPr>
      <w:r>
        <w:t>2. Tam veya kısmi ret halinde gerekçesi gösterilir.</w:t>
      </w:r>
    </w:p>
    <w:p w:rsidR="00F25813" w:rsidRPr="007C6A77" w:rsidRDefault="00F25813" w:rsidP="00A936F2">
      <w:pPr>
        <w:pStyle w:val="ECHRParaQuote"/>
      </w:pPr>
      <w:r>
        <w:t>…”</w:t>
      </w:r>
    </w:p>
    <w:p w:rsidR="00F25813" w:rsidRPr="007C6A77" w:rsidRDefault="00F25813" w:rsidP="00356532">
      <w:pPr>
        <w:pStyle w:val="ECHRTitleCentre3"/>
        <w:rPr>
          <w:rFonts w:ascii="Times New Roman" w:eastAsia="Times New Roman" w:hAnsi="Times New Roman" w:cs="Times New Roman"/>
        </w:rPr>
      </w:pPr>
      <w:r>
        <w:t>Madde 27 – Ülkesel Uygulama</w:t>
      </w:r>
    </w:p>
    <w:p w:rsidR="00F25813" w:rsidRPr="007C6A77" w:rsidRDefault="00F25813" w:rsidP="00A936F2">
      <w:pPr>
        <w:pStyle w:val="ECHRParaQuote"/>
        <w:rPr>
          <w:rFonts w:eastAsia="Times New Roman"/>
        </w:rPr>
      </w:pPr>
      <w:r>
        <w:t>“1. İşbu Sözleşme Akit Tarafların anavatan topraklarında uygulanır.</w:t>
      </w:r>
    </w:p>
    <w:p w:rsidR="00F25813" w:rsidRPr="007C6A77" w:rsidRDefault="00F25813" w:rsidP="00A936F2">
      <w:pPr>
        <w:pStyle w:val="ECHRParaQuote"/>
      </w:pPr>
      <w:r>
        <w:t>…”</w:t>
      </w:r>
    </w:p>
    <w:p w:rsidR="00F25813" w:rsidRDefault="00BB2D2A" w:rsidP="00AF047A">
      <w:pPr>
        <w:pStyle w:val="ECHRPara"/>
      </w:pPr>
      <w:r w:rsidRPr="007C6A77">
        <w:fldChar w:fldCharType="begin"/>
      </w:r>
      <w:r w:rsidR="00F25813" w:rsidRPr="007C6A77">
        <w:instrText xml:space="preserve"> SEQ level0 \*arabic </w:instrText>
      </w:r>
      <w:r w:rsidRPr="007C6A77">
        <w:fldChar w:fldCharType="separate"/>
      </w:r>
      <w:r w:rsidR="00332D11">
        <w:rPr>
          <w:noProof/>
        </w:rPr>
        <w:t>148</w:t>
      </w:r>
      <w:r w:rsidRPr="007C6A77">
        <w:fldChar w:fldCharType="end"/>
      </w:r>
      <w:r w:rsidR="00F25813">
        <w:t>.  Sözleşme’ye Taraf olan Devletlerden bazıları (Türkiye bunların arasında değildir), iade talep eden Devletin suçu işlediğini iddia ettiği kişinin suçu işlediğine ilişkin yeterli kanıt sunmaması durumunda iadeyi reddedebilecekleri hususunda özel çekinceler koymuştur.</w:t>
      </w:r>
    </w:p>
    <w:p w:rsidR="00D02D6B" w:rsidRDefault="00D02D6B" w:rsidP="00AF047A">
      <w:pPr>
        <w:pStyle w:val="ECHRPara"/>
      </w:pPr>
    </w:p>
    <w:p w:rsidR="00D02D6B" w:rsidRDefault="00D02D6B" w:rsidP="00AF047A">
      <w:pPr>
        <w:pStyle w:val="ECHRPara"/>
      </w:pPr>
    </w:p>
    <w:p w:rsidR="00F25813" w:rsidRPr="007C6A77" w:rsidRDefault="00F25813" w:rsidP="00F25813">
      <w:pPr>
        <w:pStyle w:val="ECHRHeading2"/>
      </w:pPr>
      <w:r>
        <w:t>B.  Ceza işlerinde diğer işbirliği biçimlerine ilişkin Avrupa Konseyi belgeleri</w:t>
      </w:r>
    </w:p>
    <w:p w:rsidR="00F25813" w:rsidRPr="007C6A77" w:rsidRDefault="00F25813" w:rsidP="00F25813">
      <w:pPr>
        <w:pStyle w:val="ECHRHeading3"/>
      </w:pPr>
      <w:r>
        <w:t>1.  Ceza İşlerinde Karşılıklı Adli Yardım Avrupa Sözleşmesi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149</w:t>
      </w:r>
      <w:r w:rsidRPr="007C6A77">
        <w:fldChar w:fldCharType="end"/>
      </w:r>
      <w:r w:rsidR="00F25813">
        <w:t>.  20 Nisan 1959 tarihli Ceza İşlerinde Karşılıklı Adli Yardım Avrupa Sözleşmesi (“Karşılıklı Yardım Sözleşmesi”) Türkiye tarafından 24 Haziran 1969 tarihinde onaylanmış ve 22 Eylül 1969 tarihinde Türkiye’de yürürlüğe girmiştir. Türkiye iki Ek Protokolü sırasıyla 29 Mart 1990 ve 11 Temmuz 2016 tarihlerinde onaylamıştır, sözkonusu Ek Protokoller, 27 Haziran 1990 ve 1 Kasım 2016 tarihlerinde Türkiye’de yürürlüğe girmiştir. Türkiye, Kıbrıs Cumhuriyeti ile ilgili olan ikinci Ek Protokole ilişkin olarak Suçluların İadesi Sözleşmesi kapsamındaki beyanıyla aynı beyanda bulunmuştur. (bk. yukarıdaki 144. paragraf).</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150</w:t>
      </w:r>
      <w:r w:rsidRPr="007C6A77">
        <w:fldChar w:fldCharType="end"/>
      </w:r>
      <w:r w:rsidR="00F25813">
        <w:t>.  Karşılıklı Yardım Sözleşmesi 24 Şubat 2000 tarihinde Kıbrıs tarafından onaylanmış ve 24 Mayıs 2000 tarihinde yürürlüğe girmiştir. Kıbrıs iki Ek Protokolü sırasıyla 24 Şubat 2000 ve 12 Şubat 2015 tarihlerinde onaylamıştır, sözkonusu Ek Protokoller Kıbrıs’ta 24 Mayıs 2000 ve 1 Haziran 2015 tarihlerinde yürürlüğe girmiştir. 6 Aralık 2016 tarihinde Kıbrıs, Türkiye’nin yukarıdaki beyanına Suçluların İadesi Sözleşmesi kapsamındaki itirazıyla aynı itirazda bulunmuştur (bk. yukarıdaki 145. paragraf).</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151</w:t>
      </w:r>
      <w:r w:rsidRPr="007C6A77">
        <w:fldChar w:fldCharType="end"/>
      </w:r>
      <w:r w:rsidR="00F25813">
        <w:t>.  Karşılıklı Yardım Sözleşmesi, Avrupa Konseyinin tüm üye Devletlerince onaylanmıştır.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152</w:t>
      </w:r>
      <w:r w:rsidRPr="007C6A77">
        <w:fldChar w:fldCharType="end"/>
      </w:r>
      <w:r w:rsidR="00F25813">
        <w:t>.  Bu Sözleşme’nin ilgili hükümleri aşağıdaki şekildedir:</w:t>
      </w:r>
    </w:p>
    <w:p w:rsidR="00F25813" w:rsidRPr="007C6A77" w:rsidRDefault="00F25813" w:rsidP="00F25813">
      <w:pPr>
        <w:pStyle w:val="ECHRTitleCentre3"/>
      </w:pPr>
      <w:r>
        <w:t>Madde 1</w:t>
      </w:r>
    </w:p>
    <w:p w:rsidR="00F25813" w:rsidRPr="007C6A77" w:rsidRDefault="00F25813" w:rsidP="00A936F2">
      <w:pPr>
        <w:pStyle w:val="ECHRParaQuote"/>
      </w:pPr>
      <w:r>
        <w:t>“1. “Cezalandırılması, yardım talep edildiği anda, talep eden Tarafın, adli makamlarının yargı yetkisi içinde bulunan suçlarla ilgili yargısal işlemlerde, Akit Taraflar, bu Sözleşme hükümleri uyarınca, birbirlerine, karşılıklı olarak en geniş yardımda bulunmayı taahhüt ederler.”</w:t>
      </w:r>
    </w:p>
    <w:p w:rsidR="00F25813" w:rsidRPr="007C6A77" w:rsidRDefault="00F25813" w:rsidP="00A936F2">
      <w:pPr>
        <w:pStyle w:val="ECHRParaQuote"/>
      </w:pPr>
      <w:r>
        <w:t>…”</w:t>
      </w:r>
    </w:p>
    <w:p w:rsidR="00F25813" w:rsidRPr="007C6A77" w:rsidRDefault="00F25813" w:rsidP="00F25813">
      <w:pPr>
        <w:pStyle w:val="ECHRTitleCentre3"/>
      </w:pPr>
      <w:r>
        <w:t>Madde 2</w:t>
      </w:r>
    </w:p>
    <w:p w:rsidR="00F25813" w:rsidRPr="007C6A77" w:rsidRDefault="00F25813" w:rsidP="00A936F2">
      <w:pPr>
        <w:pStyle w:val="ECHRParaQuote"/>
      </w:pPr>
      <w:r>
        <w:t>“Aşağıdaki durumlarda yardım reddedilebilir:</w:t>
      </w:r>
    </w:p>
    <w:p w:rsidR="00F25813" w:rsidRPr="007C6A77" w:rsidRDefault="00F25813" w:rsidP="00A936F2">
      <w:pPr>
        <w:pStyle w:val="ECHRParaQuote"/>
      </w:pPr>
      <w:r>
        <w:t>Talep, talep edilen Tarafça siyasi bir suç, siyasi bir suçla bağlantılı bir suç veya mali bir suç olarak görülen bir suç ile ilgiliyse;</w:t>
      </w:r>
    </w:p>
    <w:p w:rsidR="00F25813" w:rsidRPr="007C6A77" w:rsidRDefault="00F25813" w:rsidP="00A936F2">
      <w:pPr>
        <w:pStyle w:val="ECHRParaQuote"/>
      </w:pPr>
      <w:r>
        <w:t xml:space="preserve">Talep edilen Taraf, talebin yerine getirilmesini ülkesinin egemenlik, güvenlik, </w:t>
      </w:r>
      <w:r>
        <w:rPr>
          <w:i/>
        </w:rPr>
        <w:t>kamu düzeni</w:t>
      </w:r>
      <w:r>
        <w:t xml:space="preserve"> veya diğer temel çıkarlarına halel getirebileceğini düşünüyorsa.”</w:t>
      </w:r>
    </w:p>
    <w:p w:rsidR="00F25813" w:rsidRPr="007C6A77" w:rsidRDefault="00F25813" w:rsidP="00F25813">
      <w:pPr>
        <w:pStyle w:val="ECHRTitleCentre3"/>
      </w:pPr>
      <w:r>
        <w:t>Madde 3</w:t>
      </w:r>
    </w:p>
    <w:p w:rsidR="00F25813" w:rsidRPr="007C6A77" w:rsidRDefault="00F25813" w:rsidP="00A936F2">
      <w:pPr>
        <w:pStyle w:val="ECHRParaQuote"/>
      </w:pPr>
      <w:r>
        <w:t>“1. Talep edilen Taraf, delillerin elde edilmesi veya delil, kayıt veya belge olarak sağlanacak nesnelerin iletilmesi amacıyla, bir ceza işine ilişkin talep eden Tarafın adli makamlarınca gönderilen istinabe müzekkerelerini, kendi kanununda öngörülen şekillere uygun olarak yerine getirir.</w:t>
      </w:r>
    </w:p>
    <w:p w:rsidR="00F25813" w:rsidRPr="007C6A77" w:rsidRDefault="00F25813" w:rsidP="00A936F2">
      <w:pPr>
        <w:pStyle w:val="ECHRParaQuote"/>
      </w:pPr>
      <w:r>
        <w:t>2. Talep eden Taraf, tanıkların veya bilirkişilerin yeminli ifade vermelerini isterse, bu hususu açıkça talep eder ve talep edilen Taraf ülkesinin kanununda bunu engelleyen bir hüküm yok ise, bu talebi yerine getirir.”</w:t>
      </w:r>
    </w:p>
    <w:p w:rsidR="00F25813" w:rsidRPr="007C6A77" w:rsidRDefault="00F25813" w:rsidP="00A936F2">
      <w:pPr>
        <w:pStyle w:val="ECHRParaQuote"/>
      </w:pPr>
      <w:r>
        <w:t>3. Talep edilen Taraf, talep edilen kayıt veya belgelerin onaylı nüshalarını veya onaylı fotokopileri, talep eden Taraf açıkça asıl nüshaların iletilmesini talep etmediği sürece iletebilir ve talep edilen Taraf talebe uymak için her türlü çabayı gösterir.</w:t>
      </w:r>
    </w:p>
    <w:p w:rsidR="00F25813" w:rsidRPr="007C6A77" w:rsidRDefault="00F25813" w:rsidP="00F25813">
      <w:pPr>
        <w:pStyle w:val="ECHRTitleCentre3"/>
      </w:pPr>
      <w:r>
        <w:t>Madde 6</w:t>
      </w:r>
    </w:p>
    <w:p w:rsidR="00F25813" w:rsidRPr="007C6A77" w:rsidRDefault="00F25813" w:rsidP="00A936F2">
      <w:pPr>
        <w:pStyle w:val="ECHRParaQuote"/>
      </w:pPr>
      <w:r>
        <w:t>“1. Talep edilen Taraf, talep edilen herhangi bir eşya, kayıt veya belgenin teslimini, bekleyen ceza davaları ile bağlantısı olan sözkonusu eşya, kayıt veya belgelere ihtiyaç duyması halinde erteleyebilir.</w:t>
      </w:r>
    </w:p>
    <w:p w:rsidR="00F25813" w:rsidRPr="007C6A77" w:rsidRDefault="00F25813" w:rsidP="00A936F2">
      <w:pPr>
        <w:pStyle w:val="ECHRParaQuote"/>
      </w:pPr>
      <w:r>
        <w:t>…”</w:t>
      </w:r>
    </w:p>
    <w:p w:rsidR="00F25813" w:rsidRPr="007C6A77" w:rsidRDefault="00F25813" w:rsidP="00F25813">
      <w:pPr>
        <w:pStyle w:val="ECHRTitleCentre3"/>
        <w:rPr>
          <w:rFonts w:eastAsia="Times New Roman"/>
        </w:rPr>
      </w:pPr>
      <w:r>
        <w:t>Madde 15</w:t>
      </w:r>
    </w:p>
    <w:p w:rsidR="00F25813" w:rsidRPr="007C6A77" w:rsidRDefault="00F25813" w:rsidP="00A936F2">
      <w:pPr>
        <w:pStyle w:val="ECHRParaQuote"/>
        <w:rPr>
          <w:rFonts w:eastAsia="Times New Roman"/>
        </w:rPr>
      </w:pPr>
      <w:r>
        <w:t>“1. 3., 4. ve 5. maddelerde belirtilen istinabe müzekkeresi ve ayrıca 11. maddede belirtilen başvurular, talep eden Tarafın Adalet Bakanlığı tarafından talep edilen Tarafın Adalet Bakanlığına gönderilir ve aynı kanallardan geri dönüş sağlanır.</w:t>
      </w:r>
    </w:p>
    <w:p w:rsidR="00F25813" w:rsidRPr="007C6A77" w:rsidRDefault="00F25813" w:rsidP="00A936F2">
      <w:pPr>
        <w:pStyle w:val="ECHRParaQuote"/>
        <w:rPr>
          <w:rFonts w:eastAsia="Times New Roman"/>
        </w:rPr>
      </w:pPr>
      <w:r>
        <w:t>2. İstinabe müzekkeresi, acil durumlarda, talep eden Tarafın adli makamları tarafından talep edilen Tarafın adli makamlarına doğrudan iletilebilir. Bu maddenin 1. fıkrasında belirtilen kanallar vasıtasıyla ilgili belgelerle birlikte iade edilirler.</w:t>
      </w:r>
    </w:p>
    <w:p w:rsidR="00F25813" w:rsidRPr="007C6A77" w:rsidRDefault="00F25813" w:rsidP="00A936F2">
      <w:pPr>
        <w:pStyle w:val="ECHRParaQuote"/>
        <w:rPr>
          <w:rFonts w:eastAsia="Times New Roman" w:cstheme="minorHAnsi"/>
        </w:rPr>
      </w:pPr>
      <w:r>
        <w:t>...</w:t>
      </w:r>
    </w:p>
    <w:p w:rsidR="00F25813" w:rsidRPr="007C6A77" w:rsidRDefault="00F25813" w:rsidP="00A936F2">
      <w:pPr>
        <w:pStyle w:val="ECHRParaQuote"/>
      </w:pPr>
      <w:r>
        <w:t>7. İşbu madde hükümleri, kendi ilgili makamları arasında yardım taleplerinin doğrudan iletilmesini sağlayan Akit Taraflar arasında yürürlükte bulunan ikili anlaşmalarının veya düzenlemelerin hükümlerine halel getirmez.</w:t>
      </w:r>
    </w:p>
    <w:p w:rsidR="00F25813" w:rsidRPr="007C6A77" w:rsidRDefault="00F25813" w:rsidP="00F25813">
      <w:pPr>
        <w:pStyle w:val="ECHRTitleCentre3"/>
        <w:rPr>
          <w:rFonts w:eastAsia="Times New Roman"/>
        </w:rPr>
      </w:pPr>
      <w:r>
        <w:t>Madde 19</w:t>
      </w:r>
    </w:p>
    <w:p w:rsidR="00F25813" w:rsidRPr="007C6A77" w:rsidRDefault="00F25813" w:rsidP="00A936F2">
      <w:pPr>
        <w:pStyle w:val="ECHRParaQuote"/>
        <w:rPr>
          <w:rFonts w:eastAsia="Times New Roman"/>
        </w:rPr>
      </w:pPr>
      <w:r>
        <w:t>Karşılıklı yardımın reddine ilişkin gerekçeler bildirilir.</w:t>
      </w:r>
    </w:p>
    <w:p w:rsidR="00F25813" w:rsidRPr="007C6A77" w:rsidRDefault="00BB2D2A" w:rsidP="00AF047A">
      <w:pPr>
        <w:pStyle w:val="ECHRPara"/>
      </w:pPr>
      <w:r w:rsidRPr="007C6A77">
        <w:fldChar w:fldCharType="begin"/>
      </w:r>
      <w:r w:rsidR="00F25813" w:rsidRPr="007C6A77">
        <w:instrText xml:space="preserve"> SEQ level0 \*arabic </w:instrText>
      </w:r>
      <w:r w:rsidRPr="007C6A77">
        <w:fldChar w:fldCharType="separate"/>
      </w:r>
      <w:r w:rsidR="00332D11">
        <w:rPr>
          <w:noProof/>
        </w:rPr>
        <w:t>153</w:t>
      </w:r>
      <w:r w:rsidRPr="007C6A77">
        <w:fldChar w:fldCharType="end"/>
      </w:r>
      <w:r w:rsidR="00F25813">
        <w:t>.  Sözleşme’ye Taraf olan Devletlerden bazıları (Kıbrıs bunların arasında değildir), bekleyen ceza davalarının bulunması durumunda yardımı reddetme haklarını saklı tutarak çekince koymuştur.</w:t>
      </w:r>
    </w:p>
    <w:p w:rsidR="00F25813" w:rsidRPr="007C6A77" w:rsidRDefault="00F25813" w:rsidP="00F25813">
      <w:pPr>
        <w:pStyle w:val="ECHRHeading3"/>
        <w:rPr>
          <w:rStyle w:val="JuParaCar"/>
          <w:rFonts w:asciiTheme="minorHAnsi" w:hAnsiTheme="minorHAnsi" w:cstheme="minorBidi"/>
          <w:bCs w:val="0"/>
          <w:i w:val="0"/>
        </w:rPr>
      </w:pPr>
      <w:r>
        <w:rPr>
          <w:rStyle w:val="JuParaCar"/>
        </w:rPr>
        <w:t>2. Ceza Kovuşturmalarının Aktarılmasına Dair Avrupa Sözleşmesi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154</w:t>
      </w:r>
      <w:r w:rsidRPr="007C6A77">
        <w:fldChar w:fldCharType="end"/>
      </w:r>
      <w:r w:rsidR="00F25813">
        <w:t>.  15 Mayıs 1972 tarihli Ceza Kovuşturmalarının Aktarılmasına Dair Avrupa Sözleşmesi (“Kovuşturmaların Aktarılması Sözleşmesi”) 27 Ekim 1978 tarihinde Türkiye tarafından onaylanmış ve 28 Ocak 1979 tarihinde Türkiye'de yürürlüğe girmiştir. Türkiye, o tarihte, “anayasal olarak tek başına Kıbrıs Cumhuriyeti'ni temsil etme hakkına sahip olmayan Kıbrıs Rum Yönetimi ile ilgili olarak” Sözleşme hükümlerini yerine getirme zorunluluğu taşımadığını göz önünde bulundurarak çekince koymuştur. Bu Sözleşme, 19 Aralık 2001 tarihinde Kıbrıs tarafından onaylanmış ve 20 Mart 2002 tarihinde Kıbrıs’ta yürürlüğe girmiştir.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155</w:t>
      </w:r>
      <w:r w:rsidRPr="007C6A77">
        <w:fldChar w:fldCharType="end"/>
      </w:r>
      <w:r w:rsidR="00F25813">
        <w:t>.  Kovuşturmaların Aktarılması Sözleşmesi, Avrupa Konseyinin 25 üye Devletince onaylanmıştır. Diğer 10 üye Devlet sadece imzalamıştır.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156</w:t>
      </w:r>
      <w:r w:rsidRPr="007C6A77">
        <w:fldChar w:fldCharType="end"/>
      </w:r>
      <w:r w:rsidR="00F25813">
        <w:t>.  Bu Sözleşme’nin ilgili hükümleri aşağıdaki şekildedir:</w:t>
      </w:r>
    </w:p>
    <w:p w:rsidR="00F25813" w:rsidRPr="007C6A77" w:rsidRDefault="00F25813" w:rsidP="00FC53E1">
      <w:pPr>
        <w:pStyle w:val="ECHRParaQuote"/>
        <w:jc w:val="center"/>
        <w:rPr>
          <w:b/>
        </w:rPr>
      </w:pPr>
      <w:r>
        <w:rPr>
          <w:b/>
        </w:rPr>
        <w:t>Madde 3</w:t>
      </w:r>
    </w:p>
    <w:p w:rsidR="00F25813" w:rsidRPr="007C6A77" w:rsidRDefault="00F25813" w:rsidP="00A936F2">
      <w:pPr>
        <w:pStyle w:val="ECHRParaQuote"/>
      </w:pPr>
      <w:r>
        <w:t>“Kendi kanunları kapsamında bir suçu kovuşturmakla yetkili her Akit Devlet, bu Sözleşme’nin uygulanması bakımından aynı suç nedeniyle diğer bir Akit Devlet tarafından kovuşturulan veya kovuşturulacak olan şüpheli kişi hakkında kovuşturma yapmaktan feragat edebilir veya kovuşturmayı durdurabilir. Kovuşturmadan feragat etme veya kovuşturmayı durdurma kararı, 21. maddenin 2. fıkrası uyarınca, diğer Akit Devlette nihai karar verilinceye kadar geçerlidir.”</w:t>
      </w:r>
    </w:p>
    <w:p w:rsidR="00F25813" w:rsidRPr="007C6A77" w:rsidRDefault="00F25813" w:rsidP="00FC53E1">
      <w:pPr>
        <w:pStyle w:val="ECHRParaQuote"/>
        <w:jc w:val="center"/>
        <w:rPr>
          <w:b/>
        </w:rPr>
      </w:pPr>
      <w:r>
        <w:rPr>
          <w:b/>
        </w:rPr>
        <w:t>Madde 6</w:t>
      </w:r>
    </w:p>
    <w:p w:rsidR="00F25813" w:rsidRPr="007C6A77" w:rsidRDefault="00F25813" w:rsidP="00A936F2">
      <w:pPr>
        <w:pStyle w:val="ECHRParaQuote"/>
      </w:pPr>
      <w:r>
        <w:t xml:space="preserve">“1. Bir kişinin Akit Devletlerden birinin kanununa göre suç sayılan bir eylemde bulunduğundan şüphelenilmesi halinde, </w:t>
      </w:r>
      <w:r w:rsidR="00E154EF">
        <w:t>sözkonusu</w:t>
      </w:r>
      <w:r>
        <w:t xml:space="preserve"> Devlet bu Sözleşme’de belirtilen durumlarda ve şartlara uygun olarak diğer bir Akit Devletten kovuşturma yapmasını isteyebilir.</w:t>
      </w:r>
    </w:p>
    <w:p w:rsidR="00F25813" w:rsidRPr="007C6A77" w:rsidRDefault="00F25813" w:rsidP="00A936F2">
      <w:pPr>
        <w:pStyle w:val="ECHRParaQuote"/>
      </w:pPr>
      <w:r>
        <w:t>2. Akit Devletler, bu Sözleşme’nin hükümleri uyarınca diğer bir Akit Devletten kovuşturma yapmasını isteyebilmeleri durumunda, ilk Devletin yetkili makamları bu imkânı göz önünde bulundurur.”</w:t>
      </w:r>
    </w:p>
    <w:p w:rsidR="00F25813" w:rsidRPr="007C6A77" w:rsidRDefault="00F25813" w:rsidP="00FC53E1">
      <w:pPr>
        <w:pStyle w:val="ECHRParaQuote"/>
        <w:jc w:val="center"/>
        <w:rPr>
          <w:b/>
        </w:rPr>
      </w:pPr>
      <w:r>
        <w:rPr>
          <w:b/>
        </w:rPr>
        <w:t>Madde 8</w:t>
      </w:r>
    </w:p>
    <w:p w:rsidR="00F25813" w:rsidRPr="007C6A77" w:rsidRDefault="00F25813" w:rsidP="00A936F2">
      <w:pPr>
        <w:pStyle w:val="ECHRParaQuote"/>
      </w:pPr>
      <w:r>
        <w:t>“1. Bir Akit Devlet, başka bir Akit Devletten, aşağıdaki davaların herhangi birinde veya daha fazlasında kovuşturma yapılmasını talep edebilir:</w:t>
      </w:r>
    </w:p>
    <w:p w:rsidR="00F25813" w:rsidRPr="007C6A77" w:rsidRDefault="00F25813" w:rsidP="00A936F2">
      <w:pPr>
        <w:pStyle w:val="ECHRParaQuote"/>
      </w:pPr>
      <w:r>
        <w:t>Şüpheli kişinin normalde talep edilen Devlette ikamet etmesi durumunda;</w:t>
      </w:r>
    </w:p>
    <w:p w:rsidR="00F25813" w:rsidRPr="007C6A77" w:rsidRDefault="00F25813" w:rsidP="00A936F2">
      <w:pPr>
        <w:pStyle w:val="ECHRParaQuote"/>
      </w:pPr>
      <w:r>
        <w:t>Şüpheli kişi talep edilen Devletin vatandaşı ise veya bu Devlet kendi menşe Devleti ise;</w:t>
      </w:r>
    </w:p>
    <w:p w:rsidR="00F25813" w:rsidRPr="007C6A77" w:rsidRDefault="00F25813" w:rsidP="00A936F2">
      <w:pPr>
        <w:pStyle w:val="ECHRParaQuote"/>
      </w:pPr>
      <w:r>
        <w:t>Şüpheli kişinin talep edilen Devlette hürriyetten yoksun kılmayı içeren bir ceza görüyor veya görecek olması halinde;</w:t>
      </w:r>
    </w:p>
    <w:p w:rsidR="00F25813" w:rsidRPr="007C6A77" w:rsidRDefault="00F25813" w:rsidP="00A936F2">
      <w:pPr>
        <w:pStyle w:val="ECHRParaQuote"/>
      </w:pPr>
      <w:r>
        <w:t>Talep edilen Devlette şüpheli kişiye karşı aynı veya farklı suçlar için kovuşturma yapılmakta ise;</w:t>
      </w:r>
    </w:p>
    <w:p w:rsidR="00F25813" w:rsidRPr="007C6A77" w:rsidRDefault="00F25813" w:rsidP="00A936F2">
      <w:pPr>
        <w:pStyle w:val="ECHRParaQuote"/>
      </w:pPr>
      <w:r>
        <w:t>Kovuşturmaların aktarılmasına gerçeğe ulaşmak için izin verildiğini ve özellikle en önemli kanıt unsurlarının talep edilen Devlette bulunduğunu değerlendirirse;</w:t>
      </w:r>
    </w:p>
    <w:p w:rsidR="00F25813" w:rsidRPr="007C6A77" w:rsidRDefault="00F25813" w:rsidP="00A936F2">
      <w:pPr>
        <w:pStyle w:val="ECHRParaQuote"/>
      </w:pPr>
      <w:r>
        <w:t xml:space="preserve">Bir ceza hükmü verilmiş ise, talep edilen Devlette o hükmün icrasının, hakkında hüküm verilen kişinin sosyal rehabilitasyonuna ilişkin </w:t>
      </w:r>
      <w:r w:rsidR="005C1B78">
        <w:t>imkânları</w:t>
      </w:r>
      <w:r>
        <w:t xml:space="preserve"> arttırabileceğini değerlendirirse; </w:t>
      </w:r>
    </w:p>
    <w:p w:rsidR="00F25813" w:rsidRPr="007C6A77" w:rsidRDefault="00F25813" w:rsidP="00A936F2">
      <w:pPr>
        <w:pStyle w:val="ECHRParaQuote"/>
      </w:pPr>
      <w:r>
        <w:t>Talep eden Devlette kovuşturma duruşmasında şüpheli kişinin bulunmasının sağlanamayacağını ve talep edilen Devlette kovuşturma duruşmasında şahsen bulunmasının sağlanabileceğini değerlendirirse;</w:t>
      </w:r>
    </w:p>
    <w:p w:rsidR="00F25813" w:rsidRPr="007C6A77" w:rsidRDefault="00F25813" w:rsidP="00A936F2">
      <w:pPr>
        <w:pStyle w:val="ECHRParaQuote"/>
      </w:pPr>
      <w:r>
        <w:t>Bir ceza hükmü verilmiş ise, iadesine başvurularak bile olsa o hükmü kendisinin uygulayamayacağını ve talep edilen Devletin yapabileceğini değerlendirirse;</w:t>
      </w:r>
    </w:p>
    <w:p w:rsidR="00F25813" w:rsidRPr="007C6A77" w:rsidRDefault="00F25813" w:rsidP="00A936F2">
      <w:pPr>
        <w:pStyle w:val="ECHRParaQuote"/>
      </w:pPr>
      <w:r>
        <w:t>…”</w:t>
      </w:r>
    </w:p>
    <w:p w:rsidR="00F25813" w:rsidRPr="007C6A77" w:rsidRDefault="00F25813" w:rsidP="00F25813">
      <w:pPr>
        <w:pStyle w:val="ECHRHeading2"/>
      </w:pPr>
      <w:r>
        <w:t>Tanımama ilkesi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157</w:t>
      </w:r>
      <w:r w:rsidRPr="007C6A77">
        <w:fldChar w:fldCharType="end"/>
      </w:r>
      <w:r w:rsidR="00F25813">
        <w:t>.  Uluslararası Hukuk Komisyonu (UHK), 2001’de düzenlenen elli üçüncü oturumunda, “Uluslararası Haksız Eylemlerden Dolayı Devletlerin Uluslararası Sorumluluğu ile ilgili Taslak Maddeleri”</w:t>
      </w:r>
      <w:r w:rsidR="005C1B78">
        <w:t xml:space="preserve"> </w:t>
      </w:r>
      <w:r w:rsidR="00F25813">
        <w:t>kabul etmiştir. Bu metin, konuya önem veren Birleşmiş Milletler Genel Kuruluna sunulmuştur (</w:t>
      </w:r>
      <w:r w:rsidR="006515E8">
        <w:t xml:space="preserve">12 Aralık 2001 tarihli </w:t>
      </w:r>
      <w:r w:rsidR="00F25813">
        <w:t>Karar A/RES/56/83/).  Aşağıdaki maddeler özellikle dikkat çekicidir:</w:t>
      </w:r>
    </w:p>
    <w:p w:rsidR="00F25813" w:rsidRPr="007C6A77" w:rsidRDefault="00F23527" w:rsidP="00F25813">
      <w:pPr>
        <w:pStyle w:val="ECHRTitleCentre3"/>
        <w:rPr>
          <w:sz w:val="19"/>
          <w:szCs w:val="19"/>
        </w:rPr>
      </w:pPr>
      <w:r>
        <w:t xml:space="preserve">Bölüm III </w:t>
      </w:r>
    </w:p>
    <w:p w:rsidR="00F25813" w:rsidRPr="007C6A77" w:rsidRDefault="00F23527" w:rsidP="00F25813">
      <w:pPr>
        <w:pStyle w:val="ECHRTitleCentre3"/>
      </w:pPr>
      <w:r>
        <w:t>Uluslararası genel hukukun üstün hukuk kapsamındaki yükümlülüklerin ciddi şekilde ihlalleri</w:t>
      </w:r>
    </w:p>
    <w:p w:rsidR="00CA5754" w:rsidRDefault="00F25813" w:rsidP="00CA5754">
      <w:pPr>
        <w:pStyle w:val="ECHRTitleCentre3"/>
        <w:spacing w:after="0"/>
        <w:rPr>
          <w:rFonts w:eastAsiaTheme="minorHAnsi"/>
        </w:rPr>
      </w:pPr>
      <w:r>
        <w:t>Madde 40</w:t>
      </w:r>
    </w:p>
    <w:p w:rsidR="00F25813" w:rsidRPr="007C6A77" w:rsidRDefault="00F25813" w:rsidP="00CA5754">
      <w:pPr>
        <w:pStyle w:val="ECHRTitleCentre3"/>
        <w:spacing w:before="0"/>
        <w:rPr>
          <w:rFonts w:eastAsiaTheme="minorHAnsi"/>
        </w:rPr>
      </w:pPr>
      <w:r>
        <w:t>Bu bölümün uygulanması</w:t>
      </w:r>
    </w:p>
    <w:p w:rsidR="00F25813" w:rsidRPr="007C6A77" w:rsidRDefault="00F25813" w:rsidP="00A936F2">
      <w:pPr>
        <w:pStyle w:val="ECHRParaQuote"/>
        <w:rPr>
          <w:rFonts w:eastAsiaTheme="minorHAnsi"/>
        </w:rPr>
      </w:pPr>
      <w:r>
        <w:t>“1. Bu bölüm, uluslararası genel hukukun üstün hukuk kapsamında doğan bir yükümlülüğün bir Devlet tarafından ciddi şekilde ihlalini teşkil eden uluslararası sorumluluk için geçerlidir.</w:t>
      </w:r>
    </w:p>
    <w:p w:rsidR="00F25813" w:rsidRPr="007C6A77" w:rsidRDefault="00F25813" w:rsidP="00A936F2">
      <w:pPr>
        <w:pStyle w:val="ECHRParaQuote"/>
        <w:rPr>
          <w:rFonts w:eastAsiaTheme="minorHAnsi"/>
        </w:rPr>
      </w:pPr>
      <w:r>
        <w:t>2. Bu tür bir yükümlülüğün ihlali, yükümlülük sorumlu Devlet tarafından açıkça veya sistematik bir şekilde yerine getirilmemişse ciddiyet arz etmektedir.”</w:t>
      </w:r>
    </w:p>
    <w:p w:rsidR="00F25813" w:rsidRPr="007C6A77" w:rsidRDefault="00F25813" w:rsidP="00CA5754">
      <w:pPr>
        <w:pStyle w:val="ECHRTitleCentre3"/>
        <w:spacing w:after="0"/>
        <w:rPr>
          <w:rFonts w:eastAsiaTheme="minorHAnsi"/>
          <w:b w:val="0"/>
        </w:rPr>
      </w:pPr>
      <w:r>
        <w:t>Madde 41</w:t>
      </w:r>
    </w:p>
    <w:p w:rsidR="00F25813" w:rsidRPr="007C6A77" w:rsidRDefault="00F25813" w:rsidP="00CA5754">
      <w:pPr>
        <w:pStyle w:val="ECHRTitleCentre3"/>
        <w:spacing w:before="0"/>
        <w:rPr>
          <w:rFonts w:eastAsiaTheme="minorHAnsi"/>
          <w:b w:val="0"/>
        </w:rPr>
      </w:pPr>
      <w:r>
        <w:t>Bu bölüm kapsamındaki bir yükümlülüğün ciddi şekilde ihlal edilmesinden doğan özel sonuçlar</w:t>
      </w:r>
    </w:p>
    <w:p w:rsidR="00F25813" w:rsidRPr="007C6A77" w:rsidRDefault="00F25813" w:rsidP="00A936F2">
      <w:pPr>
        <w:pStyle w:val="ECHRParaQuote"/>
        <w:rPr>
          <w:rFonts w:eastAsiaTheme="minorHAnsi" w:cstheme="minorHAnsi"/>
        </w:rPr>
      </w:pPr>
      <w:r>
        <w:t xml:space="preserve"> “1. Devletler, 40. madde kapsamında, ciddi ihlalleri yasal yollarla sona erdirmek için işbirliği yapar.</w:t>
      </w:r>
    </w:p>
    <w:p w:rsidR="00F25813" w:rsidRPr="007C6A77" w:rsidRDefault="00F25813" w:rsidP="00A936F2">
      <w:pPr>
        <w:pStyle w:val="ECHRParaQuote"/>
      </w:pPr>
      <w:r>
        <w:t>2. Hiçbir Devlet, 40. madde kapsamında ciddi bir ihlalin yarattığı bir durumu yasal olarak kabul edemez, bu durumu sürdürmede yardım veya destekte bulunamaz.</w:t>
      </w:r>
    </w:p>
    <w:p w:rsidR="00F25813" w:rsidRPr="007C6A77" w:rsidRDefault="00F25813" w:rsidP="00A936F2">
      <w:pPr>
        <w:pStyle w:val="ECHRParaQuote"/>
      </w:pPr>
      <w:r>
        <w:t>…”</w:t>
      </w:r>
    </w:p>
    <w:p w:rsidR="00F25813" w:rsidRPr="007C6A77" w:rsidRDefault="00F25813" w:rsidP="00A936F2">
      <w:pPr>
        <w:pStyle w:val="ECHRParaQuote"/>
        <w:rPr>
          <w:rFonts w:eastAsiaTheme="minorHAnsi"/>
        </w:rPr>
      </w:pPr>
    </w:p>
    <w:p w:rsidR="00F25813" w:rsidRPr="007C6A77" w:rsidRDefault="00BB2D2A" w:rsidP="00AF047A">
      <w:pPr>
        <w:pStyle w:val="ECHRPara"/>
      </w:pPr>
      <w:r w:rsidRPr="007C6A77">
        <w:fldChar w:fldCharType="begin"/>
      </w:r>
      <w:r w:rsidR="00F25813" w:rsidRPr="007C6A77">
        <w:instrText xml:space="preserve"> SEQ level0 \*arabic </w:instrText>
      </w:r>
      <w:r w:rsidRPr="007C6A77">
        <w:fldChar w:fldCharType="separate"/>
      </w:r>
      <w:r w:rsidR="00332D11">
        <w:rPr>
          <w:noProof/>
        </w:rPr>
        <w:t>158</w:t>
      </w:r>
      <w:r w:rsidRPr="007C6A77">
        <w:fldChar w:fldCharType="end"/>
      </w:r>
      <w:r w:rsidR="00F25813">
        <w:t>.  41.2. Taslak Madde Yorumunda, UHK özellikle aşağıdaki gözlemlerde bulunmuştur (dipnotlar çıkarılmıştır):</w:t>
      </w:r>
    </w:p>
    <w:p w:rsidR="00F25813" w:rsidRPr="007C6A77" w:rsidRDefault="00F25813" w:rsidP="00A936F2">
      <w:pPr>
        <w:pStyle w:val="ECHRParaQuote"/>
      </w:pPr>
      <w:r>
        <w:t xml:space="preserve"> “(4) 41. maddenin 2. </w:t>
      </w:r>
      <w:r>
        <w:rPr>
          <w:i/>
        </w:rPr>
        <w:t>fıkrasına</w:t>
      </w:r>
      <w:r>
        <w:t xml:space="preserve"> göre, Devletler, ilk olarak 40. madde kapsamında ciddi ihlallerin yarattığı durumları yasal durum olarak tanımama, ikincisi ise sözkonusu durumun devam etmesinde yardım ve destekte bulunmama yükümlülüklerini içeren çekimserlik sorumluluğu altındadır.</w:t>
      </w:r>
    </w:p>
    <w:p w:rsidR="00F25813" w:rsidRPr="007C6A77" w:rsidRDefault="00F25813" w:rsidP="00A936F2">
      <w:pPr>
        <w:pStyle w:val="ECHRParaQuote"/>
      </w:pPr>
      <w:r>
        <w:t xml:space="preserve">(5) Bu iki yükümlülükten ilki, 40. madde uyarınca doğrudan ciddi ihlallerden kaynaklanan durumların yasallığının tamamının uluslararası toplum tarafından toplu olarak tanınmaması yükümlülüğünü ifade etmektedir.  ... Bu sadece sözkonusu durumların resmi olarak tanınması anlamına gelmemekte, aynı zamanda tanıma anlamına gelebilecek eylemleri de yasaklamaktadır. </w:t>
      </w:r>
    </w:p>
    <w:p w:rsidR="00F25813" w:rsidRPr="007C6A77" w:rsidRDefault="00F25813" w:rsidP="00A936F2">
      <w:pPr>
        <w:pStyle w:val="ECHRParaQuote"/>
      </w:pPr>
      <w:r>
        <w:t xml:space="preserve">(6) Üstün hukuk kapsamında ortaya çıkan yükümlülüklerin ciddi şekilde ihlallerine karşılık olarak tanımama yükümlülüğünün varlığı </w:t>
      </w:r>
      <w:r w:rsidR="009E3740">
        <w:t>hâlihazırda</w:t>
      </w:r>
      <w:r>
        <w:t xml:space="preserve"> uluslararası uygulamada ve UAD'nin [Uluslararası Adalet Divanı] kararlarında destek bulmaktadır. Güç kullanımıyla ortaya çıkan bölgesel kazanımların geçerli olmadığı ve kabul edilmemesi gerektiği ilkesi 1931-1932 yılları arasındaki Mançurya krizinde net bir ifade bulmuştur,...</w:t>
      </w:r>
    </w:p>
    <w:p w:rsidR="00F25813" w:rsidRPr="007C6A77" w:rsidRDefault="00F25813" w:rsidP="00A936F2">
      <w:pPr>
        <w:pStyle w:val="ECHRParaQuote"/>
      </w:pPr>
      <w:r>
        <w:t>(7) Güvenlik Konseyinin 1990’da Irak’ın Kuveyt’i işgaline verdiği tepkiyle, üstün hukuku ihlal eden eylemlerin tanınmaması örneği verilmiştir. Irak’ın Kuveyt’le “kapsamlı ve ebedi birleşme” ilanının ardından, Güvenlik Konseyi, 9 Ağustos 1990 tarih ve 662 (1990) sayılı kararıyla, ilhakın “yasal geçerliliği yoktur ve geçersiz sayılır” olduğuna karar vermiş ve tüm Devletlere, uluslararası kuruluşlara ve uzman kuruluşlara sözkonusu ilhakın tanınmaması ve doğrudan veya dolaylı olsa bile, bir tanıma olarak yorumlanabilecek herhangi bir eylem veya işlemden kaçınmaları çağrısında bulunmuştur. ...</w:t>
      </w:r>
    </w:p>
    <w:p w:rsidR="00F25813" w:rsidRPr="007C6A77" w:rsidRDefault="00F25813" w:rsidP="00A936F2">
      <w:pPr>
        <w:pStyle w:val="ECHRParaQuote"/>
      </w:pPr>
      <w:r>
        <w:t>...</w:t>
      </w:r>
    </w:p>
    <w:p w:rsidR="00F25813" w:rsidRPr="007C6A77" w:rsidRDefault="00F25813" w:rsidP="00A936F2">
      <w:pPr>
        <w:pStyle w:val="ECHRParaQuote"/>
      </w:pPr>
      <w:r>
        <w:t xml:space="preserve">(9) 41. maddenin 2. fıkrası uyarınca, hiçbir Devlet ciddi ihlallerin yarattığı durumu yasal olarak kabul edemez. Bu yükümlülük, sorumlu Devlet </w:t>
      </w:r>
      <w:r w:rsidR="007F3C38">
        <w:t>dâhil</w:t>
      </w:r>
      <w:r>
        <w:t xml:space="preserve"> tüm Devletler için geçerlidir. Mağdur Devlet için de benzer değerlendirmeler geçerlidir: Tanım gereği ihlal, bir bütün olarak uluslararası toplumu ilgilendirdiği için, sorumlu Devlet tarafından mağdur Devletten kaynaklanan feragat veya tanıma, haklı ve uygun bir çözüm sağlama konusunda uluslararası topluluğun çıkarlarını engelleyemez. ...</w:t>
      </w:r>
    </w:p>
    <w:p w:rsidR="00F25813" w:rsidRPr="007C6A77" w:rsidRDefault="00F25813" w:rsidP="00A936F2">
      <w:pPr>
        <w:pStyle w:val="ECHRParaQuote"/>
      </w:pPr>
      <w:r>
        <w:t xml:space="preserve">(10) Bununla birlikte, tanımama yükümlülüğünün sonuçları mutlak değildir. </w:t>
      </w:r>
      <w:r>
        <w:rPr>
          <w:i/>
        </w:rPr>
        <w:t>Namibya</w:t>
      </w:r>
      <w:r>
        <w:t xml:space="preserve"> danışma görüşünde Mahkeme [Uluslararası Adalet Divanı], durumun hukuka aykırılığına herkes bakımından karşı konulabilir olduğuna ve Birleşmiş Milletler üyesi olmayan Devletler tarafından dahi hukuki olarak tanınamaz olduğuna karar vermesine rağmen şunları ifade etmiştir:</w:t>
      </w:r>
    </w:p>
    <w:p w:rsidR="00F25813" w:rsidRPr="007C6A77" w:rsidRDefault="00F25813" w:rsidP="006811C3">
      <w:pPr>
        <w:pStyle w:val="ECHRParaQuote"/>
        <w:ind w:left="567"/>
      </w:pPr>
      <w:r>
        <w:t>Güney Afrika’nın Bölge yönetiminin tanınmaması, Namibya halkının uluslararası işbirliğinden sağlanan yararlardan mahrum bırakılmasına neden olmamalıdır. Özellikle, Güney Afrika Hükümeti tarafından Namibya adına veya Namibya ile ilgili olarak mandanın sona ermesinden sonra yapılan resmi işlemler yasadışı ve geçersiz olmasına rağmen, sözkonusu geçersizlik, örneğin doğumların, ölümlerin ve evliliklerin kaydı gibi işlemleri içeremez, etkileri yalnızca Bölge sakinlerinin zarar görmesiyle göz ardı edilebilir.</w:t>
      </w:r>
    </w:p>
    <w:p w:rsidR="00F25813" w:rsidRPr="007C6A77" w:rsidRDefault="00F25813" w:rsidP="00A936F2">
      <w:pPr>
        <w:pStyle w:val="ECHRParaQuote"/>
      </w:pPr>
      <w:r>
        <w:t>Hem tanımama ilkesi hem de sınırlandırma, örneğin Avrupa İnsan Hakları Mahkemesi tarafından uygulanmıştır.</w:t>
      </w:r>
    </w:p>
    <w:p w:rsidR="00F25813" w:rsidRPr="007C6A77" w:rsidRDefault="00F25813" w:rsidP="00A936F2">
      <w:pPr>
        <w:pStyle w:val="ECHRParaQuote"/>
      </w:pPr>
      <w:r>
        <w:t>(11) 2. fıkrada yer alan ikinci yükümlülük, Devletlerin 40. madde uyarınca ciddi bir ihlalin yarattığı durumu sürdürmede yardım veya destek vermelerini yasaklamaktadır. ... ‘Uluslararası hukuka aykırı bir şekilde devam ettirilen bir durumun herkes için meşruiyetini engellemek açısından tüm Devletlere karşı konulabilir’ bir durumun sürdürülmesinde sorumlu Devlete yardımcı olan ‘olay sonrası’ tutumunu ele almaktadır. ...</w:t>
      </w:r>
    </w:p>
    <w:p w:rsidR="00F25813" w:rsidRPr="007C6A77" w:rsidRDefault="00F25813" w:rsidP="00A936F2">
      <w:pPr>
        <w:pStyle w:val="ECHRParaQuote"/>
      </w:pPr>
      <w:r>
        <w:t>(12) Bazı açılardan, 2. paragrafta yer alan yasaklama, tanımama görevinin mantıksal bir uzantısı olarak görülebilir. Bununla birlikte, 40. madde uyarınca ciddi ihlallerin yarattığı durumun tanınması anlamına gelmeyen eylemlerle ilgili olduğu ölçüde ayrı bir uygulama kapsamı vardır. ...</w:t>
      </w:r>
    </w:p>
    <w:p w:rsidR="00F25813" w:rsidRPr="007C6A77" w:rsidRDefault="00F25813" w:rsidP="00A936F2">
      <w:pPr>
        <w:pStyle w:val="ECHRParaQuote"/>
      </w:pPr>
      <w:r>
        <w:t xml:space="preserve"> …”</w:t>
      </w:r>
    </w:p>
    <w:p w:rsidR="00F25813" w:rsidRPr="007C6A77" w:rsidRDefault="00F25813" w:rsidP="00F25813">
      <w:pPr>
        <w:pStyle w:val="ECHRHeading2"/>
      </w:pPr>
      <w:r>
        <w:t xml:space="preserve">D. </w:t>
      </w:r>
      <w:r w:rsidR="008B4471">
        <w:t>“KKTC”</w:t>
      </w:r>
      <w:r>
        <w:t>nin kuruluşuna yönelik uluslararası tepki</w:t>
      </w:r>
    </w:p>
    <w:p w:rsidR="00F25813" w:rsidRPr="007C6A77" w:rsidRDefault="00BB2D2A" w:rsidP="00AF047A">
      <w:pPr>
        <w:pStyle w:val="ECHRPara"/>
      </w:pPr>
      <w:r w:rsidRPr="007C6A77">
        <w:fldChar w:fldCharType="begin"/>
      </w:r>
      <w:r w:rsidR="00F25813" w:rsidRPr="007C6A77">
        <w:instrText xml:space="preserve"> SEQ level0 \*arabic </w:instrText>
      </w:r>
      <w:r w:rsidRPr="007C6A77">
        <w:fldChar w:fldCharType="separate"/>
      </w:r>
      <w:r w:rsidR="00332D11">
        <w:rPr>
          <w:noProof/>
        </w:rPr>
        <w:t>159</w:t>
      </w:r>
      <w:r w:rsidRPr="007C6A77">
        <w:fldChar w:fldCharType="end"/>
      </w:r>
      <w:r w:rsidR="00F25813">
        <w:t xml:space="preserve">.  18 Kasım 1983 tarihinde, </w:t>
      </w:r>
      <w:r w:rsidR="008B4471">
        <w:t>“KKTC”</w:t>
      </w:r>
      <w:r w:rsidR="00F25813">
        <w:t>nin kuruluşunun ilanına tepki olarak Birleşmiş Milletler Güvenlik Konseyi, ilgili olduğu durumlarda aşağıda belirtilenleri içeren 541 (1983) sayılı Kararı kabul etmiştir:</w:t>
      </w:r>
    </w:p>
    <w:p w:rsidR="00F25813" w:rsidRPr="007C6A77" w:rsidRDefault="00F25813" w:rsidP="00A936F2">
      <w:pPr>
        <w:pStyle w:val="ECHRParaQuote"/>
      </w:pPr>
      <w:r>
        <w:t>“Güvenlik Konseyi...</w:t>
      </w:r>
    </w:p>
    <w:p w:rsidR="00F25813" w:rsidRPr="007C6A77" w:rsidRDefault="00F25813" w:rsidP="00A936F2">
      <w:pPr>
        <w:pStyle w:val="ECHRParaQuote"/>
      </w:pPr>
      <w:r>
        <w:t xml:space="preserve">1. Kıbrıs Türk makamlarının Kıbrıs Cumhuriyeti’nin </w:t>
      </w:r>
      <w:r w:rsidR="00BC588B">
        <w:t xml:space="preserve">bir kısmının </w:t>
      </w:r>
      <w:r>
        <w:t xml:space="preserve">sözde ayrılışına ilişkin Deklarasyonunu </w:t>
      </w:r>
      <w:r>
        <w:rPr>
          <w:i/>
        </w:rPr>
        <w:t>esefle karşılar</w:t>
      </w:r>
      <w:r>
        <w:t>;</w:t>
      </w:r>
    </w:p>
    <w:p w:rsidR="00F25813" w:rsidRPr="007C6A77" w:rsidRDefault="00F25813" w:rsidP="00A936F2">
      <w:pPr>
        <w:pStyle w:val="ECHRParaQuote"/>
      </w:pPr>
      <w:r>
        <w:t xml:space="preserve">2. Deklarasyonu ... yasal olarak geçersiz </w:t>
      </w:r>
      <w:r>
        <w:rPr>
          <w:i/>
        </w:rPr>
        <w:t>sayar</w:t>
      </w:r>
      <w:r>
        <w:t xml:space="preserve"> ve kaldırılması çağrısında bulunur,</w:t>
      </w:r>
    </w:p>
    <w:p w:rsidR="00F25813" w:rsidRPr="007C6A77" w:rsidRDefault="00F25813" w:rsidP="00A936F2">
      <w:pPr>
        <w:pStyle w:val="ECHRParaQuote"/>
      </w:pPr>
      <w:r>
        <w:t>...</w:t>
      </w:r>
    </w:p>
    <w:p w:rsidR="00F25813" w:rsidRPr="007C6A77" w:rsidRDefault="00F25813" w:rsidP="00A936F2">
      <w:pPr>
        <w:pStyle w:val="ECHRParaQuote"/>
      </w:pPr>
      <w:r>
        <w:t xml:space="preserve">6. Tüm Devletlere, Kıbrıs Cumhuriyeti'nin egemenliğine, bağımsızlığına, toprak bütünlüğüne ve tarafsızlığına saygı duymaları </w:t>
      </w:r>
      <w:r>
        <w:rPr>
          <w:i/>
        </w:rPr>
        <w:t>çağrısında bulunur</w:t>
      </w:r>
      <w:r>
        <w:t>;</w:t>
      </w:r>
    </w:p>
    <w:p w:rsidR="00F25813" w:rsidRPr="007C6A77" w:rsidRDefault="00F25813" w:rsidP="00A936F2">
      <w:pPr>
        <w:pStyle w:val="ECHRParaQuote"/>
      </w:pPr>
      <w:r>
        <w:t xml:space="preserve">7. Tüm Devletlere, Kıbrıs Cumhuriyeti dışında başka bir Kıbrıs Devletini tanımama </w:t>
      </w:r>
      <w:r>
        <w:rPr>
          <w:i/>
        </w:rPr>
        <w:t>çağrısında bulunur;</w:t>
      </w:r>
    </w:p>
    <w:p w:rsidR="00F25813" w:rsidRPr="007C6A77" w:rsidRDefault="00F25813" w:rsidP="00A936F2">
      <w:pPr>
        <w:pStyle w:val="ECHRParaQuote"/>
      </w:pPr>
      <w:r>
        <w:t xml:space="preserve"> …”</w:t>
      </w:r>
    </w:p>
    <w:p w:rsidR="00F25813" w:rsidRPr="007C6A77" w:rsidRDefault="00BB2D2A" w:rsidP="00AF047A">
      <w:pPr>
        <w:pStyle w:val="ECHRPara"/>
      </w:pPr>
      <w:r w:rsidRPr="007C6A77">
        <w:fldChar w:fldCharType="begin"/>
      </w:r>
      <w:r w:rsidR="00F25813" w:rsidRPr="007C6A77">
        <w:instrText xml:space="preserve"> SEQ level0 \*arabic </w:instrText>
      </w:r>
      <w:r w:rsidRPr="007C6A77">
        <w:fldChar w:fldCharType="separate"/>
      </w:r>
      <w:r w:rsidR="00332D11">
        <w:rPr>
          <w:noProof/>
        </w:rPr>
        <w:t>160</w:t>
      </w:r>
      <w:r w:rsidRPr="007C6A77">
        <w:fldChar w:fldCharType="end"/>
      </w:r>
      <w:r w:rsidR="00F25813">
        <w:t xml:space="preserve">.  Türkiye ile </w:t>
      </w:r>
      <w:r w:rsidR="008B4471">
        <w:t>“KKTC”</w:t>
      </w:r>
      <w:r w:rsidR="00F25813">
        <w:t xml:space="preserve"> arasındaki “büyükelçi” değişimine cevaben, 11 Mayıs 1984 tarihinde kabul edilen 550 (1984) sayılı Karar, diğerlerinin yanı sıra, aşağıdaki şekildedir:</w:t>
      </w:r>
    </w:p>
    <w:p w:rsidR="00F25813" w:rsidRPr="007C6A77" w:rsidRDefault="00F25813" w:rsidP="00A936F2">
      <w:pPr>
        <w:pStyle w:val="ECHRParaQuote"/>
      </w:pPr>
      <w:r>
        <w:t>“Güvenlik Konseyi...</w:t>
      </w:r>
    </w:p>
    <w:p w:rsidR="00F25813" w:rsidRPr="007C6A77" w:rsidRDefault="00F25813" w:rsidP="00A936F2">
      <w:pPr>
        <w:pStyle w:val="ECHRParaQuote"/>
      </w:pPr>
      <w:r>
        <w:t xml:space="preserve">1. 541 (1983) sayılı Kararını </w:t>
      </w:r>
      <w:r>
        <w:rPr>
          <w:i/>
        </w:rPr>
        <w:t>tekrar teyit eder</w:t>
      </w:r>
      <w:r>
        <w:t xml:space="preserve"> ve ivedi ve etkili bir şekilde uygulanması için çağrısında bulunur;</w:t>
      </w:r>
    </w:p>
    <w:p w:rsidR="00F25813" w:rsidRPr="007C6A77" w:rsidRDefault="00F25813" w:rsidP="00A936F2">
      <w:pPr>
        <w:pStyle w:val="ECHRParaQuote"/>
      </w:pPr>
      <w:r>
        <w:t xml:space="preserve">2. Türkiye ile Kıbrıs Türk yönetimi arasındaki büyükelçilerin sözde değişimi de </w:t>
      </w:r>
      <w:r w:rsidR="007F3C38">
        <w:t>dâhil</w:t>
      </w:r>
      <w:r>
        <w:t xml:space="preserve"> olmak üzere tüm ayrılıkçı eylemleri </w:t>
      </w:r>
      <w:r>
        <w:rPr>
          <w:i/>
        </w:rPr>
        <w:t>kınar</w:t>
      </w:r>
      <w:r>
        <w:t>, yasa dışı ve geçersiz olduklarını beyan ederek derhal geri çekilmeleri çağrısında bulunur;</w:t>
      </w:r>
    </w:p>
    <w:p w:rsidR="00F25813" w:rsidRPr="007C6A77" w:rsidRDefault="00F25813" w:rsidP="00A936F2">
      <w:pPr>
        <w:pStyle w:val="ECHRParaQuote"/>
      </w:pPr>
      <w:r>
        <w:t xml:space="preserve">3. Ayrıca, tüm Devletlere ayrılıkçı eylemlerle kurulan “Kuzey Kıbrıs Türk Cumhuriyeti” sözde Devletini tanımama ve bahsekonu ayrılıkçı oluşuma olanak sağlamama veya bunu hiçbir şekilde desteklememe çağrısını </w:t>
      </w:r>
      <w:r>
        <w:rPr>
          <w:i/>
        </w:rPr>
        <w:t>tekrarlar</w:t>
      </w:r>
      <w:r>
        <w:t>;</w:t>
      </w:r>
    </w:p>
    <w:p w:rsidR="00F25813" w:rsidRPr="007C6A77" w:rsidRDefault="00F25813" w:rsidP="00A936F2">
      <w:pPr>
        <w:pStyle w:val="ECHRParaQuote"/>
      </w:pPr>
      <w:r>
        <w:t xml:space="preserve">4. Tüm Devletlere, Kıbrıs Cumhuriyeti'nin egemenliğine, bağımsızlığına, toprak bütünlüğüne ve tarafsızlığına saygı duymaları </w:t>
      </w:r>
      <w:r>
        <w:rPr>
          <w:i/>
        </w:rPr>
        <w:t>çağrısında bulunur</w:t>
      </w:r>
      <w:r>
        <w:t>;</w:t>
      </w:r>
    </w:p>
    <w:p w:rsidR="00F25813" w:rsidRPr="007C6A77" w:rsidRDefault="00F25813" w:rsidP="00A936F2">
      <w:pPr>
        <w:pStyle w:val="ECHRParaQuote"/>
      </w:pPr>
      <w:r>
        <w:t xml:space="preserve"> …”</w:t>
      </w:r>
    </w:p>
    <w:p w:rsidR="00F25813" w:rsidRPr="007C6A77" w:rsidRDefault="00BB2D2A" w:rsidP="00AF047A">
      <w:pPr>
        <w:pStyle w:val="ECHRPara"/>
      </w:pPr>
      <w:r w:rsidRPr="007C6A77">
        <w:fldChar w:fldCharType="begin"/>
      </w:r>
      <w:r w:rsidR="00F25813" w:rsidRPr="007C6A77">
        <w:instrText xml:space="preserve"> SEQ level0 \*arabic </w:instrText>
      </w:r>
      <w:r w:rsidRPr="007C6A77">
        <w:fldChar w:fldCharType="separate"/>
      </w:r>
      <w:r w:rsidR="00332D11">
        <w:rPr>
          <w:noProof/>
        </w:rPr>
        <w:t>161</w:t>
      </w:r>
      <w:r w:rsidRPr="007C6A77">
        <w:fldChar w:fldCharType="end"/>
      </w:r>
      <w:r w:rsidR="00F25813">
        <w:t xml:space="preserve">.  Kasım 1983'te Avrupa Konseyi Bakanlar Komitesi Kıbrıs Cumhuriyeti Hükümetinin Kıbrıs’ın tek meşru Hükümeti olarak tanımaya devam etmeyi kararlaştırmış ve Kıbrıs Cumhuriyeti’nin egemenliğine, bağımsızlığına, toprak bütünlüğüne ve birliğine saygı gösterilmesi çağrısında bulunmuştur (bk. </w:t>
      </w:r>
      <w:r w:rsidR="00F25813">
        <w:rPr>
          <w:i/>
        </w:rPr>
        <w:t>Loizidou</w:t>
      </w:r>
      <w:r w:rsidR="00321041">
        <w:rPr>
          <w:i/>
        </w:rPr>
        <w:t xml:space="preserve"> / </w:t>
      </w:r>
      <w:r w:rsidR="00F25813">
        <w:rPr>
          <w:i/>
        </w:rPr>
        <w:t>Türkiye</w:t>
      </w:r>
      <w:r w:rsidR="00F25813">
        <w:t xml:space="preserve"> (esaslar), 18 Aralık 1996, § 21, </w:t>
      </w:r>
      <w:r w:rsidR="00F25813">
        <w:rPr>
          <w:i/>
        </w:rPr>
        <w:t>Hüküm ve Karar Raporları</w:t>
      </w:r>
      <w:r w:rsidR="00F25813">
        <w:t xml:space="preserve"> 1996</w:t>
      </w:r>
      <w:r w:rsidR="00F25813">
        <w:noBreakHyphen/>
        <w:t>VI).</w:t>
      </w:r>
    </w:p>
    <w:p w:rsidR="00F25813" w:rsidRPr="007C6A77" w:rsidRDefault="00F25813" w:rsidP="00F25813">
      <w:pPr>
        <w:pStyle w:val="ECHRHeading1"/>
        <w:ind w:left="0" w:firstLine="0"/>
      </w:pPr>
      <w:r>
        <w:t xml:space="preserve">IV. İLGİLİ KARŞILAŞTIRMALI HUKUK </w:t>
      </w:r>
      <w:r w:rsidR="00BC588B">
        <w:t>KURALLARI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162</w:t>
      </w:r>
      <w:r w:rsidRPr="007C6A77">
        <w:fldChar w:fldCharType="end"/>
      </w:r>
      <w:r w:rsidR="00F25813">
        <w:t>. Mahkeme, iki soru grubu ile ilgili olarak yani bir yandan suçluların iadesi, diğer yandan ceza işlerinde diğer işbirliği biçimleri ile ilgili olarak karşılaştırmalı bir araştırma yapılmasının uygun olduğunu değerlendirmiştir.  Araştırma, Kıbrıs ve Türkiye dışında Sözleşme’nin kırk beş Akit Tarafının iç hukukunu dikkate almaktadır (Arnavutluk, Andorra,   Ermenistan, Avusturya, Azerbaycan, Belçika, Bosna Hersek, Bulgaristan, Hırvatistan, Çek Cumhuriyeti, Danimarka, Estonya, Finlandiya, Fransa, Gürcistan, Almanya, Yunanistan, Macaristan, İzlanda, İrlanda, İtalya, Letonya, Lihtenştayn, Litvanya, Lüksemburg, Malta, Moldova, Monako, Karadağ, Hollanda, Norveç, Polonya, Portekiz, Romanya, Rusya, San Marino, Sırbistan, Slovakya, Slovenya, İspanya, İsveç, İsviçre, eski Yugoslav Makedonya Cumhuriyeti, Ukrayna ve Birleşik Krallık).</w:t>
      </w:r>
    </w:p>
    <w:p w:rsidR="00F25813" w:rsidRPr="007C6A77" w:rsidRDefault="00F25813" w:rsidP="00F25813">
      <w:pPr>
        <w:pStyle w:val="ECHRHeading2"/>
      </w:pPr>
      <w:r>
        <w:t>A. Suçluların iadesi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163</w:t>
      </w:r>
      <w:r w:rsidRPr="007C6A77">
        <w:fldChar w:fldCharType="end"/>
      </w:r>
      <w:r w:rsidR="00F25813">
        <w:t xml:space="preserve">.  Ulusal yasaların genellikle, bir şüpheliyi sözkonusu suçun işlendiği Devlete iade etme (bunu yapmanın zorunluluk olması yerine) olanağı sağladığı görülmektedir. Ayrıca, iade ancak bir eylemin iki devlette de suç sayılması ve minimum ceza ağırlığı gibi belirli yasal koşullar yerine getirildiğinde mümkündür. Ayrıca, hangi iadelerin reddedilmesi gerektiği veya hangilerinin reddedilebilir olduğuna ilişkin koşulları belirleyen ulusal yasalarda da yaygındır. Bazı Devletlerde bu koşullar, sözkonusu suçun talep edilen Devletin yargı yetkisine tabi olduğu durumları da içermektedir veya bu Devlet aynı eylemlerle ilgili olarak kovuşturmayı </w:t>
      </w:r>
      <w:r w:rsidR="009E3740">
        <w:t>hâlihazırda</w:t>
      </w:r>
      <w:r w:rsidR="00F25813">
        <w:t xml:space="preserve"> başlatmıştır. Örneğin Avusturya, Bulgaristan, Yunanistan, Lihtenştayn, Monako, Polonya, Slovenya ve İsviçre'deki tutum bu şekildedir.   Bazı Devletlerin yasaları, iadenin tüm yasal koşullarının yerine getirilmesi durumunda bile, yürütme yetkisinin nihai kararının Devletin çıkarlarının değerlendirilmesini içerdiğini ve dolayısıyla siyasi ve takdire bağlı bir nitelikte olduğunu açıkça ortaya koymaktadır. Bu özellikle Avusturya, Çek Cumhuriyeti, Estonya, Fransa, Almanya, Macaristan, İtalya, Lihtenştayn, Romanya ve Slovakya'da geçerlidir. Devletlerin ezici çoğunluğu tarafından benimsenen takdire bağlı yaklaşımın aksine, İrlanda ve Birleşik Krallık yasalarına göre, ilgili yasal koşullar yerine getirildiği takdirde, sözkonusu gereklilik yasada belirtilen ülkelere ya da suçlu iadesi anlaşması olanlara uygulanıyor olmasına rağmen iadenin istenmesi gerektiği anlaşılmaktadır.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164</w:t>
      </w:r>
      <w:r w:rsidRPr="007C6A77">
        <w:fldChar w:fldCharType="end"/>
      </w:r>
      <w:r w:rsidR="00F25813">
        <w:t>.  İç hukuk kapsamında iade kararının genel olarak takdire bağlı yapısı çok taraflı veya iki taraflı uluslararası antlaşma hükümlerinden doğan istisnalara (örneğin, Suçluların İadesine dair Avrupa Konseyi Sözleşmesi) tabi olabilir.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165</w:t>
      </w:r>
      <w:r w:rsidRPr="007C6A77">
        <w:fldChar w:fldCharType="end"/>
      </w:r>
      <w:r w:rsidR="00F25813">
        <w:t>.  Vatandaşlarla ilgili olarak, incelenen kırk beş Avrupa Konseyi üyesi Devletten kırk ikisi, genel bir kural olarak iadelerini yasaklamaktadır. Yalnızca Danimarka, Malta ve Birleşik Krallık, prensip olarak vatandaşlarının iadesini yasaklamaz. Vatandaşların iadesini yasaklayan kural, en az on sekiz üye Devletin Anayasasında teminat altına alınmaktadır, bunlar: Ermenistan, Azerbaycan, Hırvatistan, Estonya, Gürcistan, Almanya, İtalya, Letonya, Litvanya, Moldova, Karadağ, Polonya, Portekiz, Romanya, Rusya, Slovenya, eski Yugoslav Makedonya Cumhuriyeti ve Ukrayna’dır. Kural, Avusturya'da da anayasal bir yapıya sahiptir. Ancak, sadece beş üye Devletin (Azerbaycan, Moldova, Monako, Rusya ve Ukrayna) istisnasız her koşulda vatandaşların iadesi yasağını uyguladığı görülmektedir. Geri kalanlar, belirli koşullar altında (örneğin, talep edilen kişinin rızası) veya uluslararası bir antlaşma temelinde vatandaşların iadesini sağlamaktadır.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166</w:t>
      </w:r>
      <w:r w:rsidRPr="007C6A77">
        <w:fldChar w:fldCharType="end"/>
      </w:r>
      <w:r w:rsidR="00F25813">
        <w:t>.  Sadece iki üye Devletin (Macaristan ve Romanya) yasalarında başka bir Devletin de vatandaşlığına sahip vatandaşların iadesini onaylayan özel kurallar olduğu anlaşılmaktadır. Geri kalan Devletlerde (vatandaşlarının iadesini yasaklayanlar), çifte vatandaşlığı olanlar da iade edilmeme ilkesi ile korunmaktadır.</w:t>
      </w:r>
    </w:p>
    <w:p w:rsidR="00F25813" w:rsidRPr="007C6A77" w:rsidRDefault="00F25813" w:rsidP="00F25813">
      <w:pPr>
        <w:pStyle w:val="ECHRHeading2"/>
      </w:pPr>
      <w:r>
        <w:t>B. Ceza işlerinde diğer işbirliği biçimleri: karşılıklı yardım ve kovuşturmaların aktarılması</w:t>
      </w:r>
    </w:p>
    <w:p w:rsidR="00F25813" w:rsidRPr="007C6A77" w:rsidRDefault="00BB2D2A" w:rsidP="00AF047A">
      <w:pPr>
        <w:pStyle w:val="ECHRPara"/>
      </w:pPr>
      <w:r w:rsidRPr="007C6A77">
        <w:fldChar w:fldCharType="begin"/>
      </w:r>
      <w:r w:rsidR="00F25813" w:rsidRPr="007C6A77">
        <w:instrText xml:space="preserve"> SEQ level0 \*arabic </w:instrText>
      </w:r>
      <w:r w:rsidRPr="007C6A77">
        <w:fldChar w:fldCharType="separate"/>
      </w:r>
      <w:r w:rsidR="00332D11">
        <w:rPr>
          <w:noProof/>
        </w:rPr>
        <w:t>167</w:t>
      </w:r>
      <w:r w:rsidRPr="007C6A77">
        <w:fldChar w:fldCharType="end"/>
      </w:r>
      <w:r w:rsidR="00F25813">
        <w:t xml:space="preserve">.  Talebin yerine getirilmesi Devletin temel çıkarlarına halel getirdiği takdirde, bazı üye Devletler (Belçika, Estonya, Gürcistan, İrlanda, Lüksemburg, Moldova, İsveç ve Birleşik Krallık), karşılıklı yardım talebini reddetme olanağını kendi mevzuatlarında belirtmektedir. Aynı durumlarla ilgili devam etmekte olan iç kovuşturmalarda adli yardımı reddetme olasılığı ve hatta yükümlülüğü; Azerbaycan, Hırvatistan, Hollanda, Polonya, Romanya, eski Yugoslav Makedonya Cumhuriyeti ve Ukrayna da </w:t>
      </w:r>
      <w:r w:rsidR="007F3C38">
        <w:t>dâhil</w:t>
      </w:r>
      <w:r w:rsidR="00F25813">
        <w:t xml:space="preserve"> olmak üzere diğer pek çok Devletin kanunlarında öngörülmektedir.</w:t>
      </w:r>
    </w:p>
    <w:p w:rsidR="00F25813" w:rsidRDefault="00BB2D2A" w:rsidP="00764C34">
      <w:pPr>
        <w:pStyle w:val="ECHRPara"/>
      </w:pPr>
      <w:r w:rsidRPr="007C6A77">
        <w:fldChar w:fldCharType="begin"/>
      </w:r>
      <w:r w:rsidR="00F25813" w:rsidRPr="007C6A77">
        <w:instrText xml:space="preserve"> SEQ level0 \*arabic </w:instrText>
      </w:r>
      <w:r w:rsidRPr="007C6A77">
        <w:fldChar w:fldCharType="separate"/>
      </w:r>
      <w:r w:rsidR="00332D11">
        <w:rPr>
          <w:noProof/>
        </w:rPr>
        <w:t>168</w:t>
      </w:r>
      <w:r w:rsidRPr="007C6A77">
        <w:fldChar w:fldCharType="end"/>
      </w:r>
      <w:r w:rsidR="00F25813">
        <w:t>.  Bazı üye Devletlerde, kovuşturmanın veya ceza dosyalarının şüphelinin kaçtığı bir Devlete, özellikle şüphelinin bir yabancı uyruklu olması ya da bu Devletin bir mukimi olması durumunda aktarılması da mümkündür (ancak zorunlu değildir).</w:t>
      </w:r>
    </w:p>
    <w:p w:rsidR="00764C34" w:rsidRDefault="00764C34" w:rsidP="00764C34">
      <w:pPr>
        <w:pStyle w:val="ECHRPara"/>
        <w:ind w:firstLine="0"/>
      </w:pPr>
    </w:p>
    <w:p w:rsidR="00764C34" w:rsidRPr="007C6A77" w:rsidRDefault="00764C34" w:rsidP="00764C34">
      <w:pPr>
        <w:pStyle w:val="ECHRPara"/>
        <w:ind w:firstLine="0"/>
      </w:pPr>
      <w:r>
        <w:t>HUKUKİ DURUM</w:t>
      </w:r>
    </w:p>
    <w:p w:rsidR="00F25813" w:rsidRPr="007C6A77" w:rsidRDefault="00F25813" w:rsidP="00F25813">
      <w:pPr>
        <w:pStyle w:val="ECHRHeading1"/>
      </w:pPr>
      <w:r>
        <w:t>SÖZLEŞME’NİN 2. MADDESİNİN İHLAL EDİLDİĞİ İDDİASI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169</w:t>
      </w:r>
      <w:r w:rsidRPr="007C6A77">
        <w:fldChar w:fldCharType="end"/>
      </w:r>
      <w:r w:rsidR="00F25813">
        <w:t>.  Başvuranlar, yakınları Elmas, Zerrin ve Eylül Güzelyurtlu’nun ölümüne ilişkin olarak etkin bir soruşturma yürütemedikleri gerekçesiyle Kıbrıs ve Türk makamlarının (</w:t>
      </w:r>
      <w:r w:rsidR="008B4471">
        <w:t>“KKTC”</w:t>
      </w:r>
      <w:r w:rsidR="00F25813">
        <w:t xml:space="preserve"> dâhil) Sözleşme’nin 2. maddesini ihlal ettikleri yönünde şikâyette bulunmuşlardır. Davalı Devletlerin cinayetlerin araştırılması ve şüphelilerin adalet önüne çıkarılması için işbirliğinde bulunamamalarına dikkat çekmişlerdir. İlgili 2. madde, ilgili olduğu ölçüde, aşağıdaki şekildedir:</w:t>
      </w:r>
    </w:p>
    <w:p w:rsidR="00F25813" w:rsidRPr="007C6A77" w:rsidRDefault="00F25813" w:rsidP="00A936F2">
      <w:pPr>
        <w:pStyle w:val="JuQuotSub"/>
        <w:rPr>
          <w:rStyle w:val="JuParaCar"/>
          <w:sz w:val="20"/>
          <w:szCs w:val="20"/>
        </w:rPr>
      </w:pPr>
      <w:r>
        <w:rPr>
          <w:rStyle w:val="JuParaCar"/>
          <w:sz w:val="20"/>
        </w:rPr>
        <w:t>“1. Herkesin yaşam hakkı yasayla korunur. Yasanın ölüm cezası ile cezalandırdığı bir suçtan dolayı hakkında mahkemece hükmedilen bu cezanın infaz edilmesi dışında, hiç kimsenin yaşamına kasten son verilemez.”</w:t>
      </w:r>
    </w:p>
    <w:p w:rsidR="00F25813" w:rsidRPr="007C6A77" w:rsidRDefault="00F25813" w:rsidP="00F25813">
      <w:pPr>
        <w:pStyle w:val="ECHRHeading2"/>
        <w:rPr>
          <w:i/>
        </w:rPr>
      </w:pPr>
      <w:r>
        <w:t xml:space="preserve">Türk Hükümetinin yer bakımından uyuşmazlık (incompatibility </w:t>
      </w:r>
      <w:r>
        <w:rPr>
          <w:i/>
        </w:rPr>
        <w:t>ratione loci</w:t>
      </w:r>
      <w:r>
        <w:t>) itirazı</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170</w:t>
      </w:r>
      <w:r w:rsidRPr="007C6A77">
        <w:fldChar w:fldCharType="end"/>
      </w:r>
      <w:r w:rsidR="00F25813">
        <w:t xml:space="preserve">.  Türk Hükümetinin ön itirazı ışığında, öncelikle başvuranların </w:t>
      </w:r>
      <w:r w:rsidR="00752FB1">
        <w:t>şikâyetinin</w:t>
      </w:r>
      <w:r w:rsidR="00F25813">
        <w:t xml:space="preserve"> Sözleşme’ye yer bakımından (</w:t>
      </w:r>
      <w:r w:rsidR="00F25813">
        <w:rPr>
          <w:i/>
        </w:rPr>
        <w:t>ratione loci)</w:t>
      </w:r>
      <w:r w:rsidR="00F25813">
        <w:t xml:space="preserve"> uygun olup olmadığını belirlemek gerekmektedir.</w:t>
      </w:r>
    </w:p>
    <w:p w:rsidR="00F25813" w:rsidRPr="007C6A77" w:rsidRDefault="00F25813" w:rsidP="00F25813">
      <w:pPr>
        <w:pStyle w:val="ECHRHeading3"/>
      </w:pPr>
      <w:r>
        <w:t>1.  Daire kararı</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171</w:t>
      </w:r>
      <w:r w:rsidRPr="007C6A77">
        <w:fldChar w:fldCharType="end"/>
      </w:r>
      <w:r w:rsidR="00F25813">
        <w:t>.  Başvuranların yakınlarının ölümlerinin, Kıbrıs’ın kontrolündeki ve yetki alanındaki topraklarda meydana gelmesi göz önüne alındığında, Daire resen başvurunun yer bakımından uygunluğunu (</w:t>
      </w:r>
      <w:r w:rsidR="00F25813">
        <w:rPr>
          <w:i/>
        </w:rPr>
        <w:t>ratione loci</w:t>
      </w:r>
      <w:r w:rsidR="00F25813">
        <w:t xml:space="preserve">) Türk Hükümeti aleyhine yöneltilmesi açısından incelemiştir (bk. Daire kararının 183. paragrafı). Daire, adam öldürme iddiasının yöneltildiği faillerin </w:t>
      </w:r>
      <w:r w:rsidR="008B4471">
        <w:t>“KKTC”</w:t>
      </w:r>
      <w:r w:rsidR="00F25813">
        <w:t>ya da Türkiye</w:t>
      </w:r>
      <w:r w:rsidR="00543291">
        <w:t xml:space="preserve"> topraklarında</w:t>
      </w:r>
      <w:r w:rsidR="00F25813">
        <w:t xml:space="preserve">, Türkiye’nin yargı yetkisi alanında bulunduklarını ya da bulunmuş olduklarını gözlemlemiştir. Türk ve </w:t>
      </w:r>
      <w:r w:rsidR="008B4471">
        <w:t>“KKTC”</w:t>
      </w:r>
      <w:r w:rsidR="00F25813">
        <w:t xml:space="preserve"> makamları suçtan haberdar edilmiş ve şüpheliler hakkında Kırmızı Bülten çıkarılmıştır. Bu ögeler Sözleşme’nin 2. maddesi uyarınca Türkiye’nin usul yükümlülüklerini belirtmekte ve bu nedenle ülkeselliğe dayalı genel yaklaşımdan uzaklaşılmasını meşrulaştırmaktadır. Daire ayrıca </w:t>
      </w:r>
      <w:r w:rsidR="008B4471">
        <w:t>“KKTC”</w:t>
      </w:r>
      <w:r w:rsidR="00F25813">
        <w:t xml:space="preserve"> makamlarının kendi ceza soruşturmalarını başlattıklarını ve mahkemelerinin cezai yargı yetkisine sahip olduğunu belirtmiştir. Daire, başvuranların Türkiye aleyhindeki </w:t>
      </w:r>
      <w:r w:rsidR="00752FB1">
        <w:t>şikâyetlerinin</w:t>
      </w:r>
      <w:r w:rsidR="00F25813">
        <w:t xml:space="preserve"> Sözleşme’nin hükümleriyle yer bakımından uyumlu  (</w:t>
      </w:r>
      <w:r w:rsidR="00F25813">
        <w:rPr>
          <w:i/>
        </w:rPr>
        <w:t>ratione loci</w:t>
      </w:r>
      <w:r w:rsidR="00F25813">
        <w:t>) olduğu sonucuna varmıştır (bk. Daire kararı, paragraflar 184-89).</w:t>
      </w:r>
    </w:p>
    <w:p w:rsidR="00F25813" w:rsidRPr="007C6A77" w:rsidRDefault="00F25813" w:rsidP="00F25813">
      <w:pPr>
        <w:pStyle w:val="ECHRHeading3"/>
      </w:pPr>
      <w:r>
        <w:t>2.  Tarafların beyanları</w:t>
      </w:r>
    </w:p>
    <w:p w:rsidR="00F25813" w:rsidRPr="007C6A77" w:rsidRDefault="00F25813" w:rsidP="00F25813">
      <w:pPr>
        <w:pStyle w:val="ECHRHeading4"/>
      </w:pPr>
      <w:r>
        <w:t>Türk Hükümeti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172</w:t>
      </w:r>
      <w:r w:rsidRPr="007C6A77">
        <w:fldChar w:fldCharType="end"/>
      </w:r>
      <w:r w:rsidR="00F25813">
        <w:t>.  </w:t>
      </w:r>
      <w:r w:rsidR="00BF251B">
        <w:t xml:space="preserve">Türk Hükümeti </w:t>
      </w:r>
      <w:r w:rsidR="00BF251B" w:rsidRPr="00BF251B">
        <w:t>2. madde</w:t>
      </w:r>
      <w:r w:rsidR="00BF251B">
        <w:t xml:space="preserve"> kapsamındaki</w:t>
      </w:r>
      <w:r w:rsidR="00BF251B" w:rsidRPr="00BF251B">
        <w:t xml:space="preserve"> soruştur</w:t>
      </w:r>
      <w:r w:rsidR="00BF251B">
        <w:t xml:space="preserve">maya ilişkin </w:t>
      </w:r>
      <w:r w:rsidR="00BF251B" w:rsidRPr="00BF251B">
        <w:t xml:space="preserve">usul </w:t>
      </w:r>
      <w:r w:rsidR="00752FB1" w:rsidRPr="00BF251B">
        <w:t>yükümlülüğün</w:t>
      </w:r>
      <w:r w:rsidR="00752FB1">
        <w:t xml:space="preserve">ün </w:t>
      </w:r>
      <w:r w:rsidR="00752FB1" w:rsidRPr="00BF251B">
        <w:t>amacının</w:t>
      </w:r>
      <w:r w:rsidR="00BF251B" w:rsidRPr="00BF251B">
        <w:t xml:space="preserve"> “yaşam hakkını koruyan </w:t>
      </w:r>
      <w:r w:rsidR="00BF251B">
        <w:t>iç hukukun</w:t>
      </w:r>
      <w:r w:rsidR="00BF251B" w:rsidRPr="00BF251B">
        <w:t xml:space="preserve"> etkili bir şekilde uygulanmasını sağlamak olduğunu” belirt</w:t>
      </w:r>
      <w:r w:rsidR="00BF251B">
        <w:t xml:space="preserve">miştir </w:t>
      </w:r>
      <w:r w:rsidR="00F25813">
        <w:t>(</w:t>
      </w:r>
      <w:r w:rsidR="00F25813">
        <w:rPr>
          <w:i/>
        </w:rPr>
        <w:t xml:space="preserve">Nachova </w:t>
      </w:r>
      <w:r w:rsidR="00BF251B">
        <w:rPr>
          <w:i/>
        </w:rPr>
        <w:t>ve Diğerleri / Bulgaristan</w:t>
      </w:r>
      <w:r w:rsidR="00F25813">
        <w:rPr>
          <w:i/>
        </w:rPr>
        <w:t xml:space="preserve"> </w:t>
      </w:r>
      <w:r w:rsidR="00F25813">
        <w:t>[</w:t>
      </w:r>
      <w:r w:rsidR="00BF251B">
        <w:t>BD</w:t>
      </w:r>
      <w:r w:rsidR="00F25813">
        <w:t xml:space="preserve">], </w:t>
      </w:r>
      <w:r w:rsidR="00964336">
        <w:t>No.</w:t>
      </w:r>
      <w:r w:rsidR="00F25813">
        <w:t xml:space="preserve"> 43577/98 </w:t>
      </w:r>
      <w:r w:rsidR="00BF251B">
        <w:t>ve</w:t>
      </w:r>
      <w:r w:rsidR="00F25813">
        <w:t xml:space="preserve"> 43579/98, § 110, </w:t>
      </w:r>
      <w:r w:rsidR="00BF251B">
        <w:t>AİHM</w:t>
      </w:r>
      <w:r w:rsidR="00F25813">
        <w:t xml:space="preserve"> 2005</w:t>
      </w:r>
      <w:r w:rsidR="00F25813">
        <w:noBreakHyphen/>
        <w:t>VII</w:t>
      </w:r>
      <w:r w:rsidR="00293118">
        <w:t xml:space="preserve"> atıfta bulunulmuştur</w:t>
      </w:r>
      <w:r w:rsidR="00F25813">
        <w:t xml:space="preserve">). </w:t>
      </w:r>
      <w:r w:rsidR="00AE7FE5" w:rsidRPr="00AE7FE5">
        <w:t>Devletler</w:t>
      </w:r>
      <w:r w:rsidR="0085695E">
        <w:t xml:space="preserve"> tarafından uygulanacak iç</w:t>
      </w:r>
      <w:r w:rsidR="00AE7FE5" w:rsidRPr="00AE7FE5">
        <w:t xml:space="preserve"> ceza hukuku hükümleri, yalnızca “kendi </w:t>
      </w:r>
      <w:r w:rsidR="0085695E">
        <w:t xml:space="preserve">yargı </w:t>
      </w:r>
      <w:r w:rsidR="00AE7FE5" w:rsidRPr="00AE7FE5">
        <w:t>yetki</w:t>
      </w:r>
      <w:r w:rsidR="0085695E">
        <w:t>si</w:t>
      </w:r>
      <w:r w:rsidR="00AE7FE5" w:rsidRPr="00AE7FE5">
        <w:t xml:space="preserve"> </w:t>
      </w:r>
      <w:r w:rsidR="007F3C38">
        <w:t>dâhil</w:t>
      </w:r>
      <w:r w:rsidR="00AE7FE5" w:rsidRPr="00AE7FE5">
        <w:t>inde</w:t>
      </w:r>
      <w:r w:rsidR="0085695E">
        <w:t>ki</w:t>
      </w:r>
      <w:r w:rsidR="00AE7FE5" w:rsidRPr="00AE7FE5">
        <w:t xml:space="preserve">” kişilerin yaşam hakkını korumak olduğundan, 2. madde, Devletlerin kendi </w:t>
      </w:r>
      <w:r w:rsidR="0085695E">
        <w:t xml:space="preserve">yargı </w:t>
      </w:r>
      <w:r w:rsidR="00AE7FE5" w:rsidRPr="00AE7FE5">
        <w:t>yetki</w:t>
      </w:r>
      <w:r w:rsidR="0085695E">
        <w:t xml:space="preserve">si </w:t>
      </w:r>
      <w:r w:rsidR="00AE7FE5" w:rsidRPr="00AE7FE5">
        <w:t>dışında işlenen suçlar</w:t>
      </w:r>
      <w:r w:rsidR="0085695E">
        <w:t>ı ele alan</w:t>
      </w:r>
      <w:r w:rsidR="00AE7FE5" w:rsidRPr="00AE7FE5">
        <w:t xml:space="preserve"> ceza hukuku hükümleri</w:t>
      </w:r>
      <w:r w:rsidR="0085695E">
        <w:t>ni uygulamalarını veya evrensel yargı yetkisi üstlenmelerini gerektirmemektedir</w:t>
      </w:r>
      <w:r w:rsidR="00EE2095">
        <w:t xml:space="preserve"> </w:t>
      </w:r>
      <w:r w:rsidR="00F25813">
        <w:t>(</w:t>
      </w:r>
      <w:r w:rsidR="00F25813">
        <w:rPr>
          <w:i/>
        </w:rPr>
        <w:t xml:space="preserve">Rantsev </w:t>
      </w:r>
      <w:r w:rsidR="00032794">
        <w:rPr>
          <w:i/>
        </w:rPr>
        <w:t>/</w:t>
      </w:r>
      <w:r w:rsidR="00F25813">
        <w:rPr>
          <w:i/>
        </w:rPr>
        <w:t xml:space="preserve"> </w:t>
      </w:r>
      <w:r w:rsidR="00032794">
        <w:rPr>
          <w:i/>
        </w:rPr>
        <w:t>Kıbrıs ve Rusya</w:t>
      </w:r>
      <w:r w:rsidR="00F25813">
        <w:t xml:space="preserve">, </w:t>
      </w:r>
      <w:r w:rsidR="00964336">
        <w:t>No.</w:t>
      </w:r>
      <w:r w:rsidR="00F25813">
        <w:t xml:space="preserve"> 25965/04, § 244, </w:t>
      </w:r>
      <w:r w:rsidR="00032794">
        <w:t>AİHM</w:t>
      </w:r>
      <w:r w:rsidR="00F25813">
        <w:t xml:space="preserve"> 2010 (</w:t>
      </w:r>
      <w:r w:rsidR="0065039F">
        <w:t>özetler</w:t>
      </w:r>
      <w:r w:rsidRPr="0065039F">
        <w:t>)</w:t>
      </w:r>
      <w:r w:rsidR="00F25813">
        <w:rPr>
          <w:i/>
        </w:rPr>
        <w:t xml:space="preserve">, </w:t>
      </w:r>
      <w:r w:rsidR="00032794">
        <w:rPr>
          <w:i/>
        </w:rPr>
        <w:t>ve</w:t>
      </w:r>
      <w:r w:rsidR="00F25813">
        <w:t xml:space="preserve"> </w:t>
      </w:r>
      <w:r w:rsidR="00F25813">
        <w:rPr>
          <w:i/>
        </w:rPr>
        <w:t xml:space="preserve">Emin </w:t>
      </w:r>
      <w:r w:rsidR="00032794">
        <w:rPr>
          <w:i/>
        </w:rPr>
        <w:t>ve Diğerleri</w:t>
      </w:r>
      <w:r w:rsidR="00F25813">
        <w:rPr>
          <w:i/>
        </w:rPr>
        <w:t xml:space="preserve"> </w:t>
      </w:r>
      <w:r w:rsidR="00032794">
        <w:rPr>
          <w:i/>
        </w:rPr>
        <w:t>/</w:t>
      </w:r>
      <w:r w:rsidR="00F25813">
        <w:rPr>
          <w:i/>
        </w:rPr>
        <w:t xml:space="preserve"> </w:t>
      </w:r>
      <w:r w:rsidR="00032794">
        <w:rPr>
          <w:i/>
        </w:rPr>
        <w:t>Kıbrıs</w:t>
      </w:r>
      <w:r w:rsidR="00F25813">
        <w:rPr>
          <w:i/>
        </w:rPr>
        <w:t xml:space="preserve">, </w:t>
      </w:r>
      <w:r w:rsidR="00032794">
        <w:rPr>
          <w:i/>
        </w:rPr>
        <w:t>Yunanistan</w:t>
      </w:r>
      <w:r w:rsidR="00F25813">
        <w:rPr>
          <w:i/>
        </w:rPr>
        <w:t xml:space="preserve"> </w:t>
      </w:r>
      <w:r w:rsidR="00032794">
        <w:rPr>
          <w:i/>
        </w:rPr>
        <w:t>ve</w:t>
      </w:r>
      <w:r w:rsidR="00F25813">
        <w:rPr>
          <w:i/>
        </w:rPr>
        <w:t xml:space="preserve"> </w:t>
      </w:r>
      <w:r w:rsidR="00032794">
        <w:rPr>
          <w:i/>
        </w:rPr>
        <w:t>Birleşik Krallık</w:t>
      </w:r>
      <w:r w:rsidR="00F25813">
        <w:rPr>
          <w:i/>
        </w:rPr>
        <w:t xml:space="preserve"> </w:t>
      </w:r>
      <w:r w:rsidR="00F25813">
        <w:t>(</w:t>
      </w:r>
      <w:r w:rsidR="00032794">
        <w:t>karar</w:t>
      </w:r>
      <w:r w:rsidR="00F25813">
        <w:t xml:space="preserve">), </w:t>
      </w:r>
      <w:r w:rsidR="00964336">
        <w:t>No.</w:t>
      </w:r>
      <w:r w:rsidR="00F25813">
        <w:t xml:space="preserve"> 59623/08 </w:t>
      </w:r>
      <w:r w:rsidR="00032794">
        <w:t>ve</w:t>
      </w:r>
      <w:r w:rsidR="00F25813">
        <w:t xml:space="preserve"> 6 </w:t>
      </w:r>
      <w:r w:rsidR="00032794">
        <w:t>Diğerleri</w:t>
      </w:r>
      <w:r w:rsidR="00F25813">
        <w:t xml:space="preserve">, 3 </w:t>
      </w:r>
      <w:r w:rsidR="00032794">
        <w:t xml:space="preserve">Haziran </w:t>
      </w:r>
      <w:r w:rsidR="00F25813">
        <w:t>2010</w:t>
      </w:r>
      <w:r w:rsidR="001F1497">
        <w:t xml:space="preserve"> atıfta bulunulmuştur</w:t>
      </w:r>
      <w:r w:rsidR="00F25813">
        <w:t xml:space="preserve">). </w:t>
      </w:r>
      <w:r w:rsidR="00CA56A3">
        <w:t>Belirli bir davada “</w:t>
      </w:r>
      <w:r w:rsidR="00523295">
        <w:t>belirli özellikler</w:t>
      </w:r>
      <w:r w:rsidR="00CA56A3">
        <w:t>” olmaması durumunda</w:t>
      </w:r>
      <w:r w:rsidR="00F25813">
        <w:t xml:space="preserve"> (</w:t>
      </w:r>
      <w:r w:rsidR="00F25813">
        <w:rPr>
          <w:i/>
        </w:rPr>
        <w:t>Rantsev</w:t>
      </w:r>
      <w:r w:rsidR="005C36CE">
        <w:rPr>
          <w:i/>
        </w:rPr>
        <w:t xml:space="preserve"> davası kapsamında</w:t>
      </w:r>
      <w:r w:rsidR="00F25813">
        <w:rPr>
          <w:i/>
        </w:rPr>
        <w:t xml:space="preserve">, </w:t>
      </w:r>
      <w:r w:rsidR="005C36CE">
        <w:rPr>
          <w:i/>
        </w:rPr>
        <w:t>yukarıda anılan</w:t>
      </w:r>
      <w:r w:rsidR="00F25813">
        <w:t xml:space="preserve">, §  243; </w:t>
      </w:r>
      <w:r w:rsidR="005C36CE">
        <w:t>örneğin</w:t>
      </w:r>
      <w:r w:rsidR="00F25813">
        <w:t xml:space="preserve">, </w:t>
      </w:r>
      <w:r w:rsidR="00F25813">
        <w:rPr>
          <w:i/>
        </w:rPr>
        <w:t xml:space="preserve">Aliyeva </w:t>
      </w:r>
      <w:r w:rsidR="004034A1">
        <w:rPr>
          <w:i/>
        </w:rPr>
        <w:t>ve</w:t>
      </w:r>
      <w:r w:rsidR="00F25813">
        <w:rPr>
          <w:i/>
        </w:rPr>
        <w:t xml:space="preserve"> Aliyev </w:t>
      </w:r>
      <w:r w:rsidR="004034A1">
        <w:rPr>
          <w:i/>
        </w:rPr>
        <w:t>/</w:t>
      </w:r>
      <w:r w:rsidR="00F25813">
        <w:rPr>
          <w:i/>
        </w:rPr>
        <w:t xml:space="preserve"> Azerba</w:t>
      </w:r>
      <w:r w:rsidR="004034A1">
        <w:rPr>
          <w:i/>
        </w:rPr>
        <w:t>ycan</w:t>
      </w:r>
      <w:r w:rsidR="00F25813">
        <w:rPr>
          <w:i/>
        </w:rPr>
        <w:t xml:space="preserve">, </w:t>
      </w:r>
      <w:r w:rsidR="00964336">
        <w:t>No.</w:t>
      </w:r>
      <w:r w:rsidR="00F25813">
        <w:t xml:space="preserve"> 35587/08, § 57, 31  </w:t>
      </w:r>
      <w:r w:rsidR="003D6E04">
        <w:t>Temmuz</w:t>
      </w:r>
      <w:r w:rsidR="00F25813">
        <w:t xml:space="preserve"> 2014</w:t>
      </w:r>
      <w:r w:rsidR="005C7187">
        <w:t xml:space="preserve"> davasında olduğu gibi </w:t>
      </w:r>
      <w:r w:rsidR="005C7187" w:rsidRPr="005C7187">
        <w:t xml:space="preserve">başka bir Taraf Devlette meydana gelen ölümle ilgili </w:t>
      </w:r>
      <w:r w:rsidR="005C7187">
        <w:t xml:space="preserve">soruşturma yapma ve </w:t>
      </w:r>
      <w:r w:rsidR="005C7187" w:rsidRPr="005C7187">
        <w:t>ceza</w:t>
      </w:r>
      <w:r w:rsidR="005C7187">
        <w:t xml:space="preserve"> davası açmaya ilişkin antlaşma </w:t>
      </w:r>
      <w:r w:rsidR="005C7187" w:rsidRPr="005C7187">
        <w:t>taahhütleri</w:t>
      </w:r>
      <w:r w:rsidR="00F25813">
        <w:t xml:space="preserve">), </w:t>
      </w:r>
      <w:r w:rsidR="00CA56A3" w:rsidRPr="00CA56A3">
        <w:t>Bir Devlet, ancak ma</w:t>
      </w:r>
      <w:r w:rsidR="00CA56A3">
        <w:t>ktul</w:t>
      </w:r>
      <w:r w:rsidR="00CA56A3" w:rsidRPr="00CA56A3">
        <w:t xml:space="preserve"> ile Devlet arasında b</w:t>
      </w:r>
      <w:r w:rsidR="00CA56A3">
        <w:t>u tür</w:t>
      </w:r>
      <w:r w:rsidR="00CA56A3" w:rsidRPr="00CA56A3">
        <w:t xml:space="preserve"> bir “yargı </w:t>
      </w:r>
      <w:r w:rsidR="00AA3C17">
        <w:t xml:space="preserve">yetkisi </w:t>
      </w:r>
      <w:r w:rsidR="00CA56A3" w:rsidRPr="00CA56A3">
        <w:t>bağ</w:t>
      </w:r>
      <w:r w:rsidR="00477378">
        <w:t>lantıs</w:t>
      </w:r>
      <w:r w:rsidR="00CA56A3" w:rsidRPr="00CA56A3">
        <w:t xml:space="preserve">ı” varsa, 2. madde uyarınca </w:t>
      </w:r>
      <w:r w:rsidR="00CA56A3">
        <w:t>ölüm</w:t>
      </w:r>
      <w:r w:rsidR="00845B3A">
        <w:t>ü</w:t>
      </w:r>
      <w:r w:rsidR="00CA56A3">
        <w:t xml:space="preserve"> soruşturmak zorundadır</w:t>
      </w:r>
      <w:r w:rsidR="00CA56A3" w:rsidRPr="00CA56A3">
        <w:t xml:space="preserve">. </w:t>
      </w:r>
      <w:r w:rsidR="00F25813">
        <w:t xml:space="preserve">Mevcut davada, ülkesellik, Devlet ajanı yetkisi ve kontrolü ya da bölge üzerinde etkili kontrol temelinde maktuller ve Türkiye arasında “yargı yetkisi bağlantısı” bulunmamaktadır. Sözleşme’nin 2. maddesi kapsamındaki usul yükümlülüğünün maktulün ölüm zamanında </w:t>
      </w:r>
      <w:r w:rsidR="001A439C">
        <w:t xml:space="preserve">yargı </w:t>
      </w:r>
      <w:r w:rsidR="00F25813">
        <w:t>yetki</w:t>
      </w:r>
      <w:r w:rsidR="001A439C">
        <w:t>sinde</w:t>
      </w:r>
      <w:r w:rsidR="00F25813">
        <w:t xml:space="preserve"> bulunduğu Devlete ait olması nedeniyle şüphelilerin </w:t>
      </w:r>
      <w:r w:rsidR="008B4471">
        <w:t>“KKTC”</w:t>
      </w:r>
      <w:r w:rsidR="00F25813">
        <w:t xml:space="preserve"> ya da Türkiye’de bulunması ve Türk ve </w:t>
      </w:r>
      <w:r w:rsidR="008B4471">
        <w:t>“KKTC”</w:t>
      </w:r>
      <w:r w:rsidR="00F25813">
        <w:t xml:space="preserve"> makamlarının suçtan haberdar olmaları (Daire kararı § 187), genel ilkeden uzaklaşılmasını haklı çıkaran “belirli özellikler” sınıfına girmemektedir. Türk Hükümeti, resen ceza soruşturması başlatmasının Türkiye’nin maktuller ve Kıbrıs arasındaki yargı yetkisi bağlantısından ortaya çıkan 2. madde kapsamındaki usul yükümlülüklerini üstlendiği anlamına gelmediği kanaatindedir.</w:t>
      </w:r>
    </w:p>
    <w:p w:rsidR="00F25813" w:rsidRPr="007C6A77" w:rsidRDefault="00BB2D2A" w:rsidP="00F25813">
      <w:pPr>
        <w:pStyle w:val="ECHRPara"/>
      </w:pPr>
      <w:r w:rsidRPr="00752FB1">
        <w:fldChar w:fldCharType="begin"/>
      </w:r>
      <w:r w:rsidR="00F25813" w:rsidRPr="00752FB1">
        <w:instrText xml:space="preserve"> SEQ level0 \*arabic </w:instrText>
      </w:r>
      <w:r w:rsidRPr="00752FB1">
        <w:fldChar w:fldCharType="separate"/>
      </w:r>
      <w:r w:rsidR="00332D11">
        <w:rPr>
          <w:noProof/>
        </w:rPr>
        <w:t>173</w:t>
      </w:r>
      <w:r w:rsidRPr="00752FB1">
        <w:fldChar w:fldCharType="end"/>
      </w:r>
      <w:r w:rsidR="00F25813" w:rsidRPr="00752FB1">
        <w:t>.   </w:t>
      </w:r>
      <w:r w:rsidRPr="00752FB1">
        <w:t>Türk Hükümeti ayrıca, şüpheli veya delillerin mevcut olabileceği tüm Akit Devletler üzerinde “bağımsız yükümlülük” olarak yorumlanamayacak işbirliği yapma yükümlülüğü konusunda Türkiye ile hiçbir “yargı yetkisi bağlantısı”nın bulunmadığını ileri sürmüştür</w:t>
      </w:r>
      <w:r w:rsidR="00752FB1" w:rsidRPr="00752FB1">
        <w:t xml:space="preserve">. Şüphelilerin veya delillerin mevcut olduğu tüm Akit Devletlerin </w:t>
      </w:r>
      <w:r w:rsidR="00752FB1">
        <w:t>“</w:t>
      </w:r>
      <w:r w:rsidR="00752FB1" w:rsidRPr="00752FB1">
        <w:t>bağımsız yükümlülüğü</w:t>
      </w:r>
      <w:r w:rsidR="00752FB1">
        <w:t>”</w:t>
      </w:r>
      <w:r w:rsidR="00752FB1" w:rsidRPr="00752FB1">
        <w:t xml:space="preserve"> olarak yorumlanamayan işbirliği yükümlülüğüne ilişkin olarak Türk Hükümeti ayrıca Türkiye ile bir </w:t>
      </w:r>
      <w:r w:rsidR="00752FB1">
        <w:t>“yargı yetkisi bağlantısı”</w:t>
      </w:r>
      <w:r w:rsidR="00752FB1" w:rsidRPr="00752FB1">
        <w:t xml:space="preserve"> olmadığını ileri sürmüştür.</w:t>
      </w:r>
      <w:r w:rsidR="00F25813">
        <w:t xml:space="preserve"> Mahkeme içtihadının bu tür bir yükümlülüğün mevcudiyetini desteklemediği kanısındadır. </w:t>
      </w:r>
      <w:r w:rsidR="00F25813">
        <w:rPr>
          <w:i/>
        </w:rPr>
        <w:t xml:space="preserve">O’Loughlin </w:t>
      </w:r>
      <w:r w:rsidR="00F25813">
        <w:t>(</w:t>
      </w:r>
      <w:r w:rsidR="00F25813">
        <w:rPr>
          <w:i/>
        </w:rPr>
        <w:t>O’Loughlin v</w:t>
      </w:r>
      <w:r w:rsidR="005822AA">
        <w:rPr>
          <w:i/>
        </w:rPr>
        <w:t>e</w:t>
      </w:r>
      <w:r w:rsidR="001C4824">
        <w:rPr>
          <w:i/>
        </w:rPr>
        <w:t xml:space="preserve"> </w:t>
      </w:r>
      <w:r w:rsidR="005822AA">
        <w:rPr>
          <w:i/>
        </w:rPr>
        <w:t xml:space="preserve">Diğerleri </w:t>
      </w:r>
      <w:r w:rsidR="00F25813">
        <w:rPr>
          <w:i/>
        </w:rPr>
        <w:t>/</w:t>
      </w:r>
      <w:r w:rsidR="001C4824">
        <w:rPr>
          <w:i/>
        </w:rPr>
        <w:t xml:space="preserve"> Birleşik Krallık</w:t>
      </w:r>
      <w:r w:rsidR="00F25813">
        <w:rPr>
          <w:i/>
        </w:rPr>
        <w:t xml:space="preserve"> </w:t>
      </w:r>
      <w:r w:rsidR="00F25813">
        <w:t xml:space="preserve">(karar), </w:t>
      </w:r>
      <w:r w:rsidR="00964336">
        <w:t>No.</w:t>
      </w:r>
      <w:r w:rsidR="00F25813">
        <w:t xml:space="preserve"> 23274/04, 25 Ağustos 2005) ve </w:t>
      </w:r>
      <w:r w:rsidR="00A91B60">
        <w:rPr>
          <w:i/>
        </w:rPr>
        <w:t xml:space="preserve">Cummins </w:t>
      </w:r>
      <w:r w:rsidR="00F25813">
        <w:rPr>
          <w:i/>
        </w:rPr>
        <w:t>/</w:t>
      </w:r>
      <w:r w:rsidR="001C4824">
        <w:rPr>
          <w:i/>
        </w:rPr>
        <w:t xml:space="preserve"> Birleşik Krallık</w:t>
      </w:r>
      <w:r w:rsidR="00F25813">
        <w:rPr>
          <w:i/>
        </w:rPr>
        <w:t xml:space="preserve"> </w:t>
      </w:r>
      <w:r w:rsidR="00F25813">
        <w:t xml:space="preserve">(karar), </w:t>
      </w:r>
      <w:r w:rsidR="00964336">
        <w:t>No.</w:t>
      </w:r>
      <w:r w:rsidR="00F25813">
        <w:t xml:space="preserve"> 27306/05</w:t>
      </w:r>
      <w:r w:rsidR="00F25813">
        <w:rPr>
          <w:i/>
        </w:rPr>
        <w:t xml:space="preserve">, </w:t>
      </w:r>
      <w:r w:rsidR="00F25813">
        <w:t xml:space="preserve">13 Aralık 2005) </w:t>
      </w:r>
      <w:r w:rsidR="00F25813">
        <w:rPr>
          <w:i/>
        </w:rPr>
        <w:t xml:space="preserve">davalarında işbirliği yapma yükümlülüğünün incelenmemiş; yalnızca, şüpheli faillerin kaçmış oldukları Devletin soruşturma yapma yükümlülüğü altında olup olmadığı üzerinde durulmuştur. </w:t>
      </w:r>
      <w:r w:rsidR="00F25813">
        <w:t xml:space="preserve"> </w:t>
      </w:r>
      <w:r w:rsidR="00F25813">
        <w:rPr>
          <w:i/>
        </w:rPr>
        <w:t>Rantsev</w:t>
      </w:r>
      <w:r w:rsidR="00F25813">
        <w:t>, 4. madde kapsamındaki insan kaçakçılığına ilişkin ilk ve en önemli davadır, ve Rusya’yla yargı yetkisi açısından bağlantısı, ilgili diğer Devletlerle işbirliği yapma yükümlülüğünü getiren kaçakçılık zincirinin menşe Devleti olduğu gerçeğine dayanmaktadır.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174</w:t>
      </w:r>
      <w:r w:rsidRPr="007C6A77">
        <w:fldChar w:fldCharType="end"/>
      </w:r>
      <w:r w:rsidR="00F25813">
        <w:t xml:space="preserve">.  Tüm bu sebeplerle, Türk Hükümeti Mahkemeyi başvuranların 2. madde kapsamındaki </w:t>
      </w:r>
      <w:r w:rsidR="00752FB1">
        <w:t>şikâyetlerinin</w:t>
      </w:r>
      <w:r w:rsidR="00F25813">
        <w:t xml:space="preserve"> Sözleşme’yle yer bakımından uyumlu (</w:t>
      </w:r>
      <w:r w:rsidR="00F25813">
        <w:rPr>
          <w:i/>
        </w:rPr>
        <w:t>ratione loci)</w:t>
      </w:r>
      <w:r w:rsidR="00F25813">
        <w:t xml:space="preserve"> olmadığı sonucuna varmaya davet etmiştir.</w:t>
      </w:r>
    </w:p>
    <w:p w:rsidR="00F25813" w:rsidRPr="007C6A77" w:rsidRDefault="00F25813" w:rsidP="00F25813">
      <w:pPr>
        <w:pStyle w:val="ECHRHeading4"/>
        <w:ind w:left="635" w:firstLine="0"/>
      </w:pPr>
      <w:r>
        <w:t>Kıbrıs Hükümeti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175</w:t>
      </w:r>
      <w:r w:rsidRPr="007C6A77">
        <w:fldChar w:fldCharType="end"/>
      </w:r>
      <w:r w:rsidR="00F25813">
        <w:t xml:space="preserve">.  Kıbrıs Hükümeti başvuranların </w:t>
      </w:r>
      <w:r w:rsidR="00752FB1">
        <w:t>şikâyetlerinin</w:t>
      </w:r>
      <w:r w:rsidR="00F25813">
        <w:t>, Türkiye hususunda en az dört gerekçeyle yer bakımından uyumlu (</w:t>
      </w:r>
      <w:r w:rsidR="00F25813">
        <w:rPr>
          <w:i/>
        </w:rPr>
        <w:t>ratione loci)</w:t>
      </w:r>
      <w:r w:rsidR="00F25813">
        <w:t xml:space="preserve"> olduğunu ifade etmiştir. Birincisi, Kuzey Kıbrıs’ın Türkiye kontrolünde olması ve </w:t>
      </w:r>
      <w:r w:rsidR="008B4471">
        <w:t>“KKTC”</w:t>
      </w:r>
      <w:r w:rsidR="00F25813">
        <w:t xml:space="preserve"> davalarının Türkiye’ye isnat edilebilir olmasıdır. İkincisi, Türkiye’nin şüphelilere erişimi olan üçüncü Devlet olarak 2. madde uyarınca Kıbrıs soruşturmasıyla işbirliği yapma yükümlülüğünün bulunmasıdır. Üçüncüsü, 2. maddeye göre delillerin ya da şüpheli faillerin bulunduğu Devlet, delilleri ya da şüpheli failleri koruma altına almak için gerekli adımları resen atması gerekmektedir (yukarıda anılan </w:t>
      </w:r>
      <w:r w:rsidR="00F25813">
        <w:rPr>
          <w:i/>
        </w:rPr>
        <w:t>O’Loughlin v</w:t>
      </w:r>
      <w:r w:rsidR="005822AA">
        <w:rPr>
          <w:i/>
        </w:rPr>
        <w:t>e Diğerleri</w:t>
      </w:r>
      <w:r w:rsidR="00F25813">
        <w:t xml:space="preserve"> kararına dayandırılmaktadır). Dördüncüsü, </w:t>
      </w:r>
      <w:r w:rsidR="008B4471">
        <w:t>“KKTC”</w:t>
      </w:r>
      <w:r w:rsidR="00F25813">
        <w:t xml:space="preserve">nin soruşturma başlatmasıyla Türkiye’nin 2. maddeye uygun bir soruşturma yürütme yükümlülüğünü üstlenmiş olmasıdır (yukarıda anılan </w:t>
      </w:r>
      <w:r w:rsidR="00F25813">
        <w:rPr>
          <w:i/>
        </w:rPr>
        <w:t>Aliyeva</w:t>
      </w:r>
      <w:r w:rsidR="00F25813">
        <w:t xml:space="preserve"> ve </w:t>
      </w:r>
      <w:r w:rsidR="00F25813">
        <w:rPr>
          <w:i/>
        </w:rPr>
        <w:t>Aliyev</w:t>
      </w:r>
      <w:r w:rsidR="00F25813">
        <w:t xml:space="preserve"> kararı § 57’ye dayandırılmaktadır).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176</w:t>
      </w:r>
      <w:r w:rsidRPr="007C6A77">
        <w:fldChar w:fldCharType="end"/>
      </w:r>
      <w:r w:rsidR="00F25813">
        <w:t xml:space="preserve">.  Kıbrıs Hükümeti duruşmada </w:t>
      </w:r>
      <w:r w:rsidR="008B4471">
        <w:t>“KKTC”</w:t>
      </w:r>
      <w:r w:rsidR="00F25813">
        <w:t>de soruşturma ve kovuşturma yapma hakkının aranmasının, Sözleşme’nin 2. maddesi açısından yeterli bir yargı yetkisi bağlantısı oluşturduğunu ileri sürmüştür (</w:t>
      </w:r>
      <w:r w:rsidR="00F25813">
        <w:rPr>
          <w:i/>
        </w:rPr>
        <w:t>Markovic v</w:t>
      </w:r>
      <w:r w:rsidR="005822AA">
        <w:rPr>
          <w:i/>
        </w:rPr>
        <w:t xml:space="preserve">e Diğerleri </w:t>
      </w:r>
      <w:r w:rsidR="00F25813">
        <w:rPr>
          <w:i/>
        </w:rPr>
        <w:t>/</w:t>
      </w:r>
      <w:r w:rsidR="005822AA">
        <w:rPr>
          <w:i/>
        </w:rPr>
        <w:t xml:space="preserve"> </w:t>
      </w:r>
      <w:r w:rsidR="00F25813">
        <w:rPr>
          <w:i/>
        </w:rPr>
        <w:t>İtalya</w:t>
      </w:r>
      <w:r w:rsidR="00F25813">
        <w:t xml:space="preserve"> [BD], </w:t>
      </w:r>
      <w:r w:rsidR="00964336">
        <w:t>No.</w:t>
      </w:r>
      <w:r w:rsidR="00F25813">
        <w:t xml:space="preserve"> 1398, AİHM 2006</w:t>
      </w:r>
      <w:r w:rsidR="00F25813">
        <w:noBreakHyphen/>
        <w:t xml:space="preserve">XIV). Kıbrıs Hükümeti ayrıca Türkiye’nin, kuzey Kıbrıs’ta etkin kontrol sahibi olması sebebiyle yargı yetkisi bağlantısı bulunduğunu belirtmiştir. Cinayetin, yargı yetkisi dışında işlenmesine rağmen mevcut davada Türkiye’ye soruşturma yükümlülüğü getiren iki “belirli özellik” bulunmaktadır: (a) Türkiye Kıbrıs topraklarını işgal etmiştir ve Kıbrıs soruşturmasını kasıtlı olarak engellemiştir, ve (b) Türkiye şüphelilerin kendi yargı yetkisi </w:t>
      </w:r>
      <w:r w:rsidR="007F3C38">
        <w:t>dâhil</w:t>
      </w:r>
      <w:r w:rsidR="00F25813">
        <w:t>inde olduğunu bilmektedir.</w:t>
      </w:r>
    </w:p>
    <w:p w:rsidR="00F25813" w:rsidRPr="007C6A77" w:rsidRDefault="00F25813" w:rsidP="00F25813">
      <w:pPr>
        <w:pStyle w:val="ECHRHeading4"/>
      </w:pPr>
      <w:r>
        <w:t>Başvuranlar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177</w:t>
      </w:r>
      <w:r w:rsidRPr="007C6A77">
        <w:fldChar w:fldCharType="end"/>
      </w:r>
      <w:r w:rsidR="00F25813">
        <w:t>.  Başvuranlar Kıbrıs’a özgü koşullar altında Kıbrıs’ın egemen bölgesinin bir parçası olmasına rağmen, Türkiye’nin kuzey Kıbrıs’ta etkin kontrol sahibi olarak Sözleşme’nin 1. maddesi uyarınca yargı yetkisine sahip olduğunu ileri sürmüştür. Duruşmada, Türkiye’nin etkin kontrolünün Kıbrıs’ın cinayet şüphelilerini izlemekten alıkoymasının, Türkiye’nin işbirliğini gerektiren bir “yargı yetkisi bağlantısı” ve “belirli özellik” oluşturduğunu eklemiştir. Yargı yetkisi bağlantısı ve işbirliği görevi bulunmasının nedeni Kıbrıs’ın iki bölümünün de aynı hukuki (</w:t>
      </w:r>
      <w:r w:rsidR="00F25813">
        <w:rPr>
          <w:i/>
        </w:rPr>
        <w:t>de jure)</w:t>
      </w:r>
      <w:r w:rsidR="00F25813">
        <w:t xml:space="preserve"> yargı yetkisine ait olmasıdır.</w:t>
      </w:r>
    </w:p>
    <w:p w:rsidR="00F25813" w:rsidRPr="007C6A77" w:rsidRDefault="00F25813" w:rsidP="00F25813">
      <w:pPr>
        <w:pStyle w:val="ECHRHeading3"/>
      </w:pPr>
      <w:r>
        <w:t xml:space="preserve">3.  Mahkemenin </w:t>
      </w:r>
      <w:r w:rsidR="00543291">
        <w:t>değerlendirmesi</w:t>
      </w:r>
    </w:p>
    <w:p w:rsidR="00F25813" w:rsidRPr="007C6A77" w:rsidRDefault="00F25813" w:rsidP="00F25813">
      <w:pPr>
        <w:pStyle w:val="ECHRHeading4"/>
      </w:pPr>
      <w:r>
        <w:t>(A) İlgili içtihadın özeti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178</w:t>
      </w:r>
      <w:r w:rsidRPr="007C6A77">
        <w:fldChar w:fldCharType="end"/>
      </w:r>
      <w:r w:rsidR="00F25813">
        <w:t xml:space="preserve">.  1. maddede belirtilen “Yargı Yetkisi” bir eşik ölçüttür. Yargı yetkisinin kullanılması, bir Akit Devletin Sözleşme’de belirtilen hak ve özgürlükleri ihlal edildiği iddiasına yol açan eylem veya ihmallerden sorumlu tutulmasını sağlamak için gereklidir (bk. </w:t>
      </w:r>
      <w:r w:rsidR="00F25813">
        <w:rPr>
          <w:i/>
        </w:rPr>
        <w:t>Al-Sekini v</w:t>
      </w:r>
      <w:r w:rsidR="00C638FC">
        <w:rPr>
          <w:i/>
        </w:rPr>
        <w:t xml:space="preserve">e Diğerleri </w:t>
      </w:r>
      <w:r w:rsidR="00F25813">
        <w:rPr>
          <w:i/>
        </w:rPr>
        <w:t>/</w:t>
      </w:r>
      <w:r w:rsidR="00C638FC">
        <w:rPr>
          <w:i/>
        </w:rPr>
        <w:t xml:space="preserve"> </w:t>
      </w:r>
      <w:r w:rsidR="00F25813">
        <w:rPr>
          <w:i/>
        </w:rPr>
        <w:t>Birleşik Krallık</w:t>
      </w:r>
      <w:r w:rsidR="00F25813">
        <w:t xml:space="preserve"> [BD], </w:t>
      </w:r>
      <w:r w:rsidR="00964336">
        <w:t>No.</w:t>
      </w:r>
      <w:r w:rsidR="00F25813">
        <w:t xml:space="preserve"> 55721/07, § 130, AİHM 2011, ve </w:t>
      </w:r>
      <w:r w:rsidR="00F25813">
        <w:rPr>
          <w:i/>
        </w:rPr>
        <w:t xml:space="preserve">Catan </w:t>
      </w:r>
      <w:r w:rsidR="00C638FC">
        <w:rPr>
          <w:i/>
        </w:rPr>
        <w:t xml:space="preserve">ve Diğerleri </w:t>
      </w:r>
      <w:r w:rsidR="00F25813">
        <w:rPr>
          <w:i/>
        </w:rPr>
        <w:t>/</w:t>
      </w:r>
      <w:r w:rsidR="00C638FC">
        <w:rPr>
          <w:i/>
        </w:rPr>
        <w:t xml:space="preserve"> </w:t>
      </w:r>
      <w:r w:rsidR="00F25813">
        <w:rPr>
          <w:i/>
        </w:rPr>
        <w:t>Moldova Cumhuriyeti ve Rusya</w:t>
      </w:r>
      <w:r w:rsidR="00F25813">
        <w:t xml:space="preserve"> [BD], </w:t>
      </w:r>
      <w:r w:rsidR="00964336">
        <w:t>No.</w:t>
      </w:r>
      <w:r w:rsidR="00F25813">
        <w:t xml:space="preserve"> 43370/04 ve 2 diğer, § 103, AİHM 2012 (özetler)).</w:t>
      </w:r>
      <w:bookmarkStart w:id="50" w:name="_Toc289765893"/>
      <w:bookmarkEnd w:id="50"/>
      <w:r w:rsidR="00F25813">
        <w:t xml:space="preserve"> Mahkemenin de vurguladığı gibi, uluslararası kamu hukuku açısından bir Devletin yargı yetkinliği öncelikle ülkeseldir (adı geçen kararda, sırasıyla §§ 131 ve 104). Ancak Mahkeme istisnai davalarda Akit Devletin 1. madde uyarınca kendi ülke sınırları dışında yargı yetkisini kullanmasını kabul etmiştir (bk. </w:t>
      </w:r>
      <w:r w:rsidR="00F25813">
        <w:rPr>
          <w:i/>
        </w:rPr>
        <w:t xml:space="preserve">Al-Skeini </w:t>
      </w:r>
      <w:r w:rsidR="00C638FC">
        <w:rPr>
          <w:i/>
        </w:rPr>
        <w:t>ve Diğerleri</w:t>
      </w:r>
      <w:r w:rsidR="00F25813">
        <w:rPr>
          <w:i/>
        </w:rPr>
        <w:t>,</w:t>
      </w:r>
      <w:r w:rsidR="00F25813">
        <w:t xml:space="preserve"> yukarıda anılan, §§ 132-50, ve </w:t>
      </w:r>
      <w:r w:rsidR="00F25813">
        <w:rPr>
          <w:i/>
        </w:rPr>
        <w:t>Hassan</w:t>
      </w:r>
      <w:r w:rsidR="00C638FC">
        <w:rPr>
          <w:i/>
        </w:rPr>
        <w:t xml:space="preserve"> </w:t>
      </w:r>
      <w:r w:rsidR="00F25813">
        <w:rPr>
          <w:i/>
        </w:rPr>
        <w:t>/</w:t>
      </w:r>
      <w:r w:rsidR="00C638FC">
        <w:rPr>
          <w:i/>
        </w:rPr>
        <w:t xml:space="preserve"> </w:t>
      </w:r>
      <w:r w:rsidR="00F25813">
        <w:rPr>
          <w:i/>
        </w:rPr>
        <w:t>Birleşik Krallık</w:t>
      </w:r>
      <w:r w:rsidR="00F25813">
        <w:t xml:space="preserve"> [BD], </w:t>
      </w:r>
      <w:r w:rsidR="00964336">
        <w:t>No.</w:t>
      </w:r>
      <w:r w:rsidR="00F25813">
        <w:t xml:space="preserve"> 29750/09, §§ 74-80, AİHM 2014).</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179</w:t>
      </w:r>
      <w:r w:rsidRPr="007C6A77">
        <w:fldChar w:fldCharType="end"/>
      </w:r>
      <w:r w:rsidR="00F25813">
        <w:t xml:space="preserve">.  1. madde uyarınca yargı yetkisinin Devletin kendi ülkesi içinde geçerli olmasına bir istisna, ister kanuni isterse kanun dışı nitelikte olsun bir askeri hareket sonucunda Akit Devletin ulusal toprakları dışında bir alanda etkin kontrol uygulamasıdır. Bu tür bir alanda Sözleşme’de belirtilen hak ve özgürlükleri güvence alma yükümlülüğünü, bu kontrolün doğrudan Akit Devletin kendi silahlı kuvvetleri tarafından ya da bağlı bir yerel yönetim tarafından uygulanması belirlemektedir (bk. </w:t>
      </w:r>
      <w:r w:rsidR="00F25813">
        <w:rPr>
          <w:i/>
        </w:rPr>
        <w:t>Loizidou</w:t>
      </w:r>
      <w:r w:rsidR="0054148C">
        <w:rPr>
          <w:i/>
        </w:rPr>
        <w:t xml:space="preserve"> </w:t>
      </w:r>
      <w:r w:rsidR="00F25813">
        <w:rPr>
          <w:i/>
        </w:rPr>
        <w:t>/</w:t>
      </w:r>
      <w:r w:rsidR="0054148C">
        <w:rPr>
          <w:i/>
        </w:rPr>
        <w:t xml:space="preserve"> </w:t>
      </w:r>
      <w:r w:rsidR="00F25813">
        <w:rPr>
          <w:i/>
        </w:rPr>
        <w:t xml:space="preserve">Türkiye </w:t>
      </w:r>
      <w:r w:rsidR="00F25813">
        <w:t xml:space="preserve">(ön itirazlar), 23 Mart 1995, § 62, A Serisi </w:t>
      </w:r>
      <w:r w:rsidR="00964336">
        <w:t>No.</w:t>
      </w:r>
      <w:r w:rsidR="00F25813">
        <w:t xml:space="preserve"> 310; </w:t>
      </w:r>
      <w:r w:rsidR="00F25813">
        <w:rPr>
          <w:i/>
        </w:rPr>
        <w:t>Kıbrıs</w:t>
      </w:r>
      <w:r w:rsidR="0054148C">
        <w:rPr>
          <w:i/>
        </w:rPr>
        <w:t xml:space="preserve"> </w:t>
      </w:r>
      <w:r w:rsidR="00F25813">
        <w:rPr>
          <w:i/>
        </w:rPr>
        <w:t>/</w:t>
      </w:r>
      <w:r w:rsidR="0054148C">
        <w:rPr>
          <w:i/>
        </w:rPr>
        <w:t xml:space="preserve"> </w:t>
      </w:r>
      <w:r w:rsidR="00F25813">
        <w:rPr>
          <w:i/>
        </w:rPr>
        <w:t>Türkiye</w:t>
      </w:r>
      <w:r w:rsidR="00F25813">
        <w:t xml:space="preserve">[BD], </w:t>
      </w:r>
      <w:r w:rsidR="00964336">
        <w:t>No.</w:t>
      </w:r>
      <w:r w:rsidR="00F25813">
        <w:t xml:space="preserve"> 25781/94, § 76, AİHM 2001-IV; </w:t>
      </w:r>
      <w:r w:rsidR="00F25813">
        <w:rPr>
          <w:i/>
        </w:rPr>
        <w:t xml:space="preserve">Ilaşcu </w:t>
      </w:r>
      <w:r w:rsidR="0054148C">
        <w:rPr>
          <w:i/>
        </w:rPr>
        <w:t xml:space="preserve">ve Diğerleri </w:t>
      </w:r>
      <w:r w:rsidR="00F25813">
        <w:rPr>
          <w:i/>
        </w:rPr>
        <w:t>/</w:t>
      </w:r>
      <w:r w:rsidR="0054148C">
        <w:rPr>
          <w:i/>
        </w:rPr>
        <w:t xml:space="preserve"> </w:t>
      </w:r>
      <w:r w:rsidR="00F25813">
        <w:rPr>
          <w:i/>
        </w:rPr>
        <w:t xml:space="preserve">Moldova ve Rusya </w:t>
      </w:r>
      <w:r w:rsidR="00F25813">
        <w:t xml:space="preserve">[BD], </w:t>
      </w:r>
      <w:r w:rsidR="00964336">
        <w:t>No.</w:t>
      </w:r>
      <w:r w:rsidR="00F25813">
        <w:t> 48787/99, §§ 314-16, AİHM 2004</w:t>
      </w:r>
      <w:r w:rsidR="00F25813">
        <w:noBreakHyphen/>
        <w:t xml:space="preserve">VII; </w:t>
      </w:r>
      <w:r w:rsidR="00F25813">
        <w:rPr>
          <w:i/>
        </w:rPr>
        <w:t xml:space="preserve">Al-Skeini </w:t>
      </w:r>
      <w:r w:rsidR="0054148C">
        <w:rPr>
          <w:i/>
        </w:rPr>
        <w:t>ve Diğerleri</w:t>
      </w:r>
      <w:r w:rsidR="00F25813">
        <w:rPr>
          <w:i/>
        </w:rPr>
        <w:t xml:space="preserve">, </w:t>
      </w:r>
      <w:r w:rsidR="00F25813">
        <w:t xml:space="preserve">yukarıda anılan, § 138; </w:t>
      </w:r>
      <w:r w:rsidR="00F25813">
        <w:rPr>
          <w:i/>
        </w:rPr>
        <w:t xml:space="preserve">Catan </w:t>
      </w:r>
      <w:r w:rsidR="0054148C">
        <w:rPr>
          <w:i/>
        </w:rPr>
        <w:t>ve Diğerleri</w:t>
      </w:r>
      <w:r w:rsidR="00F25813">
        <w:rPr>
          <w:i/>
        </w:rPr>
        <w:t xml:space="preserve">, </w:t>
      </w:r>
      <w:r w:rsidR="00F25813">
        <w:t xml:space="preserve">yukarıda anılan, § 106; ve </w:t>
      </w:r>
      <w:r w:rsidR="00F25813">
        <w:rPr>
          <w:i/>
        </w:rPr>
        <w:t>Mozer</w:t>
      </w:r>
      <w:r w:rsidR="0054148C">
        <w:rPr>
          <w:i/>
        </w:rPr>
        <w:t xml:space="preserve"> </w:t>
      </w:r>
      <w:r w:rsidR="00F25813">
        <w:rPr>
          <w:i/>
        </w:rPr>
        <w:t>/</w:t>
      </w:r>
      <w:r w:rsidR="0054148C">
        <w:rPr>
          <w:i/>
        </w:rPr>
        <w:t xml:space="preserve"> </w:t>
      </w:r>
      <w:r w:rsidR="00F25813">
        <w:rPr>
          <w:i/>
        </w:rPr>
        <w:t xml:space="preserve">Moldova Cumhuriyeti ve Rusya </w:t>
      </w:r>
      <w:r w:rsidR="00F25813">
        <w:t xml:space="preserve">[BD], </w:t>
      </w:r>
      <w:r w:rsidR="00964336">
        <w:t>No.</w:t>
      </w:r>
      <w:r w:rsidR="00F25813">
        <w:t xml:space="preserve"> 11138/10, § 98, 23 Şubat 2016). Toprak üzerinde bu tür bir </w:t>
      </w:r>
      <w:r w:rsidR="00AE42A1">
        <w:t>hâkimiyetin</w:t>
      </w:r>
      <w:r w:rsidR="00F25813">
        <w:t xml:space="preserve"> tespit edildiği durumlarda, Akit Devletin bağlı yerel yönetimin ve eylemleri üzerinde derinlemesine kontrol sahibi olup olmadığını belirlemek gerekli değildir. Yerel yönetimin, Akit Devletin askeri ve diğer desteğinin sonucu olarak varlığını devam ettirmesi, Devletin yerel yönetimin politikalarının ve eylemlerinin sorumluluğunu üstlenmesini gerektirmektedir. Kontrol eden Devlet, 1. madde uyarınca, kontrolü altındaki bölgede Sözleşme’de ve onayladığı ek Protokollerde ortaya konan tüm temel hakları güvence altına almakla sorumludur. Bu hakların herhangi bir şekilde ihlal edilmesinden sorumlu olacaktır (bk. </w:t>
      </w:r>
      <w:r w:rsidR="00F25813">
        <w:rPr>
          <w:i/>
        </w:rPr>
        <w:t>Kıbrıs/Türkiye</w:t>
      </w:r>
      <w:r w:rsidR="00F25813">
        <w:t xml:space="preserve">, yukarıda anılan, §§ 76-77, ve </w:t>
      </w:r>
      <w:r w:rsidR="00F25813">
        <w:rPr>
          <w:i/>
        </w:rPr>
        <w:t>Al-Skeini</w:t>
      </w:r>
      <w:r w:rsidR="001D0506" w:rsidRPr="001D0506">
        <w:rPr>
          <w:i/>
        </w:rPr>
        <w:t xml:space="preserve"> </w:t>
      </w:r>
      <w:r w:rsidR="001D0506">
        <w:rPr>
          <w:i/>
        </w:rPr>
        <w:t>ve Diğerleri,</w:t>
      </w:r>
      <w:r w:rsidR="00F25813">
        <w:t xml:space="preserve"> yukarıda anılan § 138).</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180</w:t>
      </w:r>
      <w:r w:rsidRPr="007C6A77">
        <w:fldChar w:fldCharType="end"/>
      </w:r>
      <w:r w:rsidR="00F25813">
        <w:t xml:space="preserve">.  Mahkemenin, 2. madde uyarınca şikayetleri usul yönünden hükme bağlamak durumunda olduğu birçok davada, ölümler sözkonusu Akit Devletin yargı yetkisinde - ulusal toprakları içinde (bk., </w:t>
      </w:r>
      <w:r w:rsidRPr="003E3441">
        <w:t xml:space="preserve">diğer pek çok </w:t>
      </w:r>
      <w:r w:rsidR="002B2A06" w:rsidRPr="003E3441">
        <w:t>kararın yanı sıra</w:t>
      </w:r>
      <w:r w:rsidR="00F25813" w:rsidRPr="003E3441">
        <w:t xml:space="preserve">, Kıbrıs itibariyle </w:t>
      </w:r>
      <w:r w:rsidR="00F25813" w:rsidRPr="003E3441">
        <w:rPr>
          <w:i/>
        </w:rPr>
        <w:t>Rantsev)</w:t>
      </w:r>
      <w:r w:rsidR="00F25813" w:rsidRPr="003E3441">
        <w:t xml:space="preserve"> bu Devletin etkin kontrolü altındaki bir bölgede, (bk. </w:t>
      </w:r>
      <w:r w:rsidR="00F25813" w:rsidRPr="003E3441">
        <w:rPr>
          <w:i/>
        </w:rPr>
        <w:t>Adalı</w:t>
      </w:r>
      <w:r w:rsidR="00D00043" w:rsidRPr="003E3441">
        <w:rPr>
          <w:i/>
        </w:rPr>
        <w:t xml:space="preserve"> </w:t>
      </w:r>
      <w:r w:rsidR="00F25813" w:rsidRPr="003E3441">
        <w:rPr>
          <w:i/>
        </w:rPr>
        <w:t>/</w:t>
      </w:r>
      <w:r w:rsidR="00D00043" w:rsidRPr="003E3441">
        <w:rPr>
          <w:i/>
        </w:rPr>
        <w:t xml:space="preserve"> </w:t>
      </w:r>
      <w:r w:rsidR="00F25813" w:rsidRPr="003E3441">
        <w:rPr>
          <w:i/>
        </w:rPr>
        <w:t>Türkiye</w:t>
      </w:r>
      <w:r w:rsidR="00F25813" w:rsidRPr="003E3441">
        <w:t xml:space="preserve">, </w:t>
      </w:r>
      <w:r w:rsidR="00964336">
        <w:t>No.</w:t>
      </w:r>
      <w:r w:rsidR="00F25813" w:rsidRPr="003E3441">
        <w:t xml:space="preserve"> 38187/97, 31 Mart 2005) ya</w:t>
      </w:r>
      <w:r w:rsidR="00F25813">
        <w:t xml:space="preserve"> da Devlete kayıtlı, Devletin bayrağını taşıyan uçaklarda ve gemilerde gerçekleşmiştir (bk. </w:t>
      </w:r>
      <w:r w:rsidR="00F25813">
        <w:rPr>
          <w:i/>
        </w:rPr>
        <w:t>Bakanova</w:t>
      </w:r>
      <w:r w:rsidR="00D00043">
        <w:rPr>
          <w:i/>
        </w:rPr>
        <w:t xml:space="preserve"> </w:t>
      </w:r>
      <w:r w:rsidR="00F25813">
        <w:rPr>
          <w:i/>
        </w:rPr>
        <w:t>/</w:t>
      </w:r>
      <w:r w:rsidR="00D00043">
        <w:rPr>
          <w:i/>
        </w:rPr>
        <w:t xml:space="preserve"> </w:t>
      </w:r>
      <w:r w:rsidR="00F25813">
        <w:rPr>
          <w:i/>
        </w:rPr>
        <w:t xml:space="preserve">Litvanya, </w:t>
      </w:r>
      <w:r w:rsidR="00964336">
        <w:t>No.</w:t>
      </w:r>
      <w:r w:rsidR="00F25813">
        <w:t xml:space="preserve"> 11167/12, § 63, 31 Mayıs 2016). Mahkeme ayrıca ölümün başka bir Devletin toprağında ya da tarafsız bölgede meydana geldiği ancak sözkonusu Akit Devletin bir ajanının yetkisi ve kontrolünün sebep olduğunun iddia edildiği durumlarda, şikayetleri 2. maddenin usule ilişkin yönünden incelemiştir (bk. </w:t>
      </w:r>
      <w:r w:rsidR="00F25813">
        <w:rPr>
          <w:rFonts w:asciiTheme="majorHAnsi" w:hAnsiTheme="majorHAnsi" w:cstheme="majorHAnsi"/>
          <w:i/>
        </w:rPr>
        <w:t>A</w:t>
      </w:r>
      <w:r w:rsidR="00F25813">
        <w:rPr>
          <w:rFonts w:asciiTheme="majorHAnsi" w:hAnsiTheme="majorHAnsi" w:cstheme="majorHAnsi"/>
          <w:i/>
          <w:color w:val="000000"/>
        </w:rPr>
        <w:t xml:space="preserve">l-Skeini </w:t>
      </w:r>
      <w:r w:rsidR="00D00043">
        <w:rPr>
          <w:i/>
        </w:rPr>
        <w:t>ve Diğerleri</w:t>
      </w:r>
      <w:r w:rsidR="00F25813">
        <w:rPr>
          <w:rFonts w:asciiTheme="majorHAnsi" w:hAnsiTheme="majorHAnsi" w:cstheme="majorHAnsi"/>
          <w:color w:val="000000"/>
        </w:rPr>
        <w:t xml:space="preserve">, yukarıda anılan §§ 149-50; </w:t>
      </w:r>
      <w:r w:rsidR="00F25813">
        <w:rPr>
          <w:i/>
        </w:rPr>
        <w:t>Jaloud</w:t>
      </w:r>
      <w:r w:rsidR="00D00043">
        <w:rPr>
          <w:i/>
        </w:rPr>
        <w:t xml:space="preserve"> </w:t>
      </w:r>
      <w:r w:rsidR="00F25813">
        <w:rPr>
          <w:i/>
        </w:rPr>
        <w:t>/</w:t>
      </w:r>
      <w:r w:rsidR="00D00043">
        <w:rPr>
          <w:i/>
        </w:rPr>
        <w:t xml:space="preserve"> </w:t>
      </w:r>
      <w:r w:rsidR="00F25813">
        <w:rPr>
          <w:i/>
        </w:rPr>
        <w:t>Hollanda</w:t>
      </w:r>
      <w:r w:rsidR="00D00043">
        <w:rPr>
          <w:i/>
        </w:rPr>
        <w:t xml:space="preserve"> </w:t>
      </w:r>
      <w:r w:rsidR="00F25813">
        <w:t xml:space="preserve">[BD], </w:t>
      </w:r>
      <w:r w:rsidR="00964336">
        <w:t>No.</w:t>
      </w:r>
      <w:r w:rsidR="00F25813">
        <w:t xml:space="preserve"> 47708/08, § 152, AİHM 2014; ve </w:t>
      </w:r>
      <w:r w:rsidR="00F25813">
        <w:rPr>
          <w:i/>
        </w:rPr>
        <w:t>Isaak</w:t>
      </w:r>
      <w:r w:rsidR="00D00043">
        <w:rPr>
          <w:i/>
        </w:rPr>
        <w:t xml:space="preserve"> </w:t>
      </w:r>
      <w:r w:rsidR="00F25813">
        <w:rPr>
          <w:i/>
        </w:rPr>
        <w:t>/</w:t>
      </w:r>
      <w:r w:rsidR="00D00043">
        <w:rPr>
          <w:i/>
        </w:rPr>
        <w:t xml:space="preserve"> </w:t>
      </w:r>
      <w:r w:rsidR="00F25813">
        <w:rPr>
          <w:i/>
        </w:rPr>
        <w:t>Türkiye</w:t>
      </w:r>
      <w:r w:rsidR="00F25813">
        <w:t xml:space="preserve">, </w:t>
      </w:r>
      <w:r w:rsidR="00964336">
        <w:t>No.</w:t>
      </w:r>
      <w:r w:rsidR="00F25813">
        <w:t xml:space="preserve"> 44587/98, §§ 121-25, 24 Haziran 2008, ve Kıbrıs’taki BM tampon bölgesine ilişkin 28 Kasım 2006 tarihli karar). Tüm bu davalarda, ölen ile sözkonusu Devlet arasında, 1. maddenin amaçları açısından açık bir yargı yetkisi bağlantısı bulunmaktadır.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181</w:t>
      </w:r>
      <w:r w:rsidRPr="007C6A77">
        <w:fldChar w:fldCharType="end"/>
      </w:r>
      <w:r w:rsidR="00F25813">
        <w:t xml:space="preserve">.  Bugüne kadar, Mahkemenin, </w:t>
      </w:r>
      <w:r w:rsidR="00AE42A1">
        <w:t>şikâyetleri</w:t>
      </w:r>
      <w:r w:rsidR="00F25813">
        <w:t xml:space="preserve"> 2. madde uyarınca usul açısından incelemesi gereken, ölümün usul yükümlülüğü altında olduğu iddia edilen Devletin yargı yetkisinden farklı bir yerde vuku bulduğu az sayıda dava olmuştur.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182</w:t>
      </w:r>
      <w:r w:rsidRPr="007C6A77">
        <w:fldChar w:fldCharType="end"/>
      </w:r>
      <w:r w:rsidR="00F25813">
        <w:t xml:space="preserve">.  Şüpheli faillerin Birleşik Krallık içinde Kuzey İrlanda’ya kaçtıkları İrlanda Cumhuriyeti’ndeki (bombalamalar sonucu gerçekleşen) şiddet içeren ölümlerle ilgili ve (yukarıda anılan) </w:t>
      </w:r>
      <w:r w:rsidR="00F25813">
        <w:rPr>
          <w:i/>
        </w:rPr>
        <w:t xml:space="preserve">O’Loughlin </w:t>
      </w:r>
      <w:r w:rsidR="00C37BBE">
        <w:rPr>
          <w:i/>
        </w:rPr>
        <w:t>ve Diğerleri</w:t>
      </w:r>
      <w:r w:rsidR="00F25813">
        <w:rPr>
          <w:i/>
        </w:rPr>
        <w:t xml:space="preserve"> ve Cummins</w:t>
      </w:r>
      <w:r w:rsidR="00F25813">
        <w:t xml:space="preserve"> davalarında, Mahkeme Birleşik Krallık aleyhindeki </w:t>
      </w:r>
      <w:r w:rsidR="00AE42A1">
        <w:t>şikâyetlerin</w:t>
      </w:r>
      <w:r w:rsidR="00F25813">
        <w:t xml:space="preserve"> yer bakımından (</w:t>
      </w:r>
      <w:r w:rsidR="00F25813">
        <w:rPr>
          <w:i/>
        </w:rPr>
        <w:t>ratione laci)</w:t>
      </w:r>
      <w:r w:rsidR="00F25813">
        <w:t xml:space="preserve"> uyumuna doğrudan atıfta bulunmamış ve davalı Devletin yargı yetkisi dışında meydana gelen yasadışı ölümlerle ilgili olarak soruşturma görevi hakkında genel ilkeler belirlemeye devam etmiştir. Bu bağlamda, Mahkeme, yaşam kaybına neden olan yasadışı bir şiddet olayına yönelik sınır ötesi unsurların bulunduğu yerlerde, 2. maddenin faillerin kaçtığı ve suç delillerinin bulunabileceği Devletin yetkili makamlarının gerektiğinde resen olmak üzere bu hususta etkili tedbirler almasını gerektirdiğini gözlemleme fırsatı bulmuştur (bk. yukarıda anılan </w:t>
      </w:r>
      <w:r w:rsidR="00F25813">
        <w:rPr>
          <w:i/>
        </w:rPr>
        <w:t>Cummins</w:t>
      </w:r>
      <w:r w:rsidR="00F25813">
        <w:t xml:space="preserve">). Ancak Mahkeme, ilkinde </w:t>
      </w:r>
      <w:r w:rsidR="00630FC1">
        <w:t>şikâyetin</w:t>
      </w:r>
      <w:r w:rsidR="00F25813">
        <w:t xml:space="preserve"> altı aylık zaman sınırı dışında yapılması ve ikincisinde de </w:t>
      </w:r>
      <w:r w:rsidR="00630FC1">
        <w:t>şikâyetlerin</w:t>
      </w:r>
      <w:r w:rsidR="00F25813">
        <w:t xml:space="preserve"> açıkça dayanaktan</w:t>
      </w:r>
      <w:r w:rsidR="004E17C4" w:rsidRPr="007C6A77">
        <w:sym w:font="Symbol" w:char="F02D"/>
      </w:r>
      <w:r w:rsidR="00F25813">
        <w:t>yoksun olması nedeniyle davaların kabul edilemez olduklarına hükmetmiştir.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183</w:t>
      </w:r>
      <w:r w:rsidRPr="007C6A77">
        <w:fldChar w:fldCharType="end"/>
      </w:r>
      <w:r w:rsidR="00F25813">
        <w:t>.  </w:t>
      </w:r>
      <w:r w:rsidR="00F25813">
        <w:rPr>
          <w:i/>
        </w:rPr>
        <w:t>Rantsev</w:t>
      </w:r>
      <w:r w:rsidR="00F25813">
        <w:t xml:space="preserve"> davasında (yukarıda anılan §§ 205-08) Mahkeme, başvurunun temelini oluşturan olayların (diğerleri</w:t>
      </w:r>
      <w:r w:rsidR="004E5BE7">
        <w:t>nin yanı sıra</w:t>
      </w:r>
      <w:r w:rsidR="00F25813">
        <w:t xml:space="preserve"> </w:t>
      </w:r>
      <w:r w:rsidR="002B2A06">
        <w:t>maktulün</w:t>
      </w:r>
      <w:r w:rsidR="00F25813">
        <w:t xml:space="preserve"> yaşamını yitirmesi) kendi toprakları dışında vuku bulmuş olması nedeniyle Rusya Hükümetinin yer bakımından (</w:t>
      </w:r>
      <w:r w:rsidR="00F25813">
        <w:rPr>
          <w:i/>
        </w:rPr>
        <w:t xml:space="preserve">ratione loci) </w:t>
      </w:r>
      <w:r w:rsidR="00F25813">
        <w:t xml:space="preserve">itirazını incelemiştir. Mahkeme, başvuranın Rusya’da yerleşik tanıkların ifadelerini koruma altına almak da </w:t>
      </w:r>
      <w:r w:rsidR="007F3C38">
        <w:t>dâhil</w:t>
      </w:r>
      <w:r w:rsidR="00F25813">
        <w:t xml:space="preserve"> olmak üzere Rusya’nın soruşturma tedbirler almamasına ilişkin 2. madde kapsamındaki </w:t>
      </w:r>
      <w:r w:rsidR="00AE42A1">
        <w:t>şikâyetine</w:t>
      </w:r>
      <w:r w:rsidR="00F25813">
        <w:t xml:space="preserve"> işaret etmektedir. Rusya’nın 2. madde kapsamındaki usul yükümlülüğünün kapsamı, esasın incelenme aşamasına bırakılmış olmasına rağmen Mahkeme </w:t>
      </w:r>
      <w:r w:rsidR="00AE42A1">
        <w:t>şikâyetin</w:t>
      </w:r>
      <w:r w:rsidR="00F25813">
        <w:t xml:space="preserve"> yer bakımından (</w:t>
      </w:r>
      <w:r w:rsidR="00F25813">
        <w:rPr>
          <w:i/>
        </w:rPr>
        <w:t>ratione loci)</w:t>
      </w:r>
      <w:r w:rsidR="00F25813">
        <w:t xml:space="preserve"> uygunluğunu kabul etmiştir (aynı kararda, §§ 208 ve 212). Mahkeme, 2. madde kapsamındaki </w:t>
      </w:r>
      <w:r w:rsidR="00AE42A1">
        <w:t>şikâyetin</w:t>
      </w:r>
      <w:r w:rsidR="00F25813">
        <w:t xml:space="preserve"> esaslarını incelerken, ölümün Kıbrıs’ta vuku bulduğunu ve kural olarak, etkili soruşturma yürütme yükümlülüğünün yalnızca Kıbrıs’a ait olduğunu belirtmiştir (aynı kararda, § 243, gerekli değişikliklerin yapılması koşulu ile </w:t>
      </w:r>
      <w:r w:rsidR="00F25813">
        <w:rPr>
          <w:i/>
        </w:rPr>
        <w:t>Al-Adsani</w:t>
      </w:r>
      <w:r w:rsidR="0090337F">
        <w:rPr>
          <w:i/>
        </w:rPr>
        <w:t xml:space="preserve"> </w:t>
      </w:r>
      <w:r w:rsidR="00F25813">
        <w:rPr>
          <w:i/>
        </w:rPr>
        <w:t>/</w:t>
      </w:r>
      <w:r w:rsidR="0090337F">
        <w:rPr>
          <w:i/>
        </w:rPr>
        <w:t xml:space="preserve"> </w:t>
      </w:r>
      <w:r w:rsidR="00F25813">
        <w:rPr>
          <w:i/>
        </w:rPr>
        <w:t>Birleşik Krallık</w:t>
      </w:r>
      <w:r w:rsidR="00F25813">
        <w:t xml:space="preserve"> [BD], </w:t>
      </w:r>
      <w:r w:rsidR="00964336">
        <w:t>No.</w:t>
      </w:r>
      <w:r w:rsidR="00F25813">
        <w:t xml:space="preserve"> 35763/97, § 38, AİHM 2001</w:t>
      </w:r>
      <w:r w:rsidR="00F25813">
        <w:noBreakHyphen/>
        <w:t xml:space="preserve">XI, 3. maddeyle ilgili olarak). Bununla birlikte, Mahkeme bir davadaki “belirli özelliklerin” genel yaklaşımdan uzaklaşıldığını haklı çıkardığını kabul etmiştir. “Belirli özelliklerin” mevcudiyetine ilişkin olarak, ölenlerin Rus vatandaşlıklarının bu özelliklere </w:t>
      </w:r>
      <w:r w:rsidR="007F3C38">
        <w:t>dâhil</w:t>
      </w:r>
      <w:r w:rsidR="00F25813">
        <w:t xml:space="preserve"> olmadığı ve sonuç olarak, Rusya’nın 2. madde uyarınca ölümü soruşturmak için “bağımsız” yükümlülük altında olmadığı sonucuna varmıştır (aynı yerde, § 244).</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184</w:t>
      </w:r>
      <w:r w:rsidRPr="007C6A77">
        <w:fldChar w:fldCharType="end"/>
      </w:r>
      <w:r w:rsidR="00F25813">
        <w:t xml:space="preserve">.  Başvuranlar (yukarıda anılan) </w:t>
      </w:r>
      <w:r w:rsidR="00F25813">
        <w:rPr>
          <w:i/>
        </w:rPr>
        <w:t xml:space="preserve">Emin </w:t>
      </w:r>
      <w:r w:rsidR="0021765B">
        <w:rPr>
          <w:i/>
        </w:rPr>
        <w:t>ve Diğerleri</w:t>
      </w:r>
      <w:r w:rsidR="00F25813">
        <w:t xml:space="preserve"> davasında maktullerin İngiliz pasaportu taşıdığı olduğu ve Kıbrıs’taki İngiliz egemenlik bölgesinde çalıştıkları halde Birleşik Krallık’ın Kıbrıs’taki yakınlarının ortadan kaybolmasını soruşturmadığı gerekçesiyle 2. maddenin usul yönünden ihlal edildiğini iddia etmiştir. Mahkeme, 2. maddede belirtilen usul yükümlülüğünün genellikle maktulün ölüm esnasında, yargı yetkisinde bulunduğu davalı Devlete ait olduğunu vurgulamıştır. Sözkonusu davada, toprakları içinde ve Kıbrıs Cumhuriyeti'nin yargı yetkisinde kapsamında gerçekleşen ortadan kaybolmalara ilişkin kendi soruşturmasını yürütme görevinin Birleşik Krallık'a getirilmesini destekleyen özel unsurlar tespit etmemiştir. Bu nedenle Mahkeme, başvurunun kişi </w:t>
      </w:r>
      <w:r w:rsidR="00F25813">
        <w:rPr>
          <w:i/>
        </w:rPr>
        <w:t>(ratione personae)</w:t>
      </w:r>
      <w:r w:rsidR="00F25813">
        <w:t xml:space="preserve"> ve esas </w:t>
      </w:r>
      <w:r w:rsidR="00F25813">
        <w:rPr>
          <w:i/>
        </w:rPr>
        <w:t xml:space="preserve">(ratione materiae) </w:t>
      </w:r>
      <w:r w:rsidR="00F25813">
        <w:t>bakımından uygun olmadığını açıklamıştır.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185</w:t>
      </w:r>
      <w:r w:rsidRPr="007C6A77">
        <w:fldChar w:fldCharType="end"/>
      </w:r>
      <w:r w:rsidR="00F25813">
        <w:t>.   </w:t>
      </w:r>
      <w:r w:rsidR="00F25813">
        <w:rPr>
          <w:i/>
        </w:rPr>
        <w:t>Gray</w:t>
      </w:r>
      <w:r w:rsidR="0029569C">
        <w:rPr>
          <w:i/>
        </w:rPr>
        <w:t xml:space="preserve"> </w:t>
      </w:r>
      <w:r w:rsidR="00F25813">
        <w:rPr>
          <w:i/>
        </w:rPr>
        <w:t>/</w:t>
      </w:r>
      <w:r w:rsidR="0029569C">
        <w:rPr>
          <w:i/>
        </w:rPr>
        <w:t xml:space="preserve"> </w:t>
      </w:r>
      <w:r w:rsidR="00F25813">
        <w:rPr>
          <w:i/>
        </w:rPr>
        <w:t>Almanya</w:t>
      </w:r>
      <w:r w:rsidR="00F25813">
        <w:t xml:space="preserve"> kararında (</w:t>
      </w:r>
      <w:r w:rsidR="00964336">
        <w:t>No.</w:t>
      </w:r>
      <w:r w:rsidR="00F25813">
        <w:t xml:space="preserve"> 49278/09, 22 Mayıs 2014), Alman mahkemeleri Birleşik Krallık’ta tıbbi ihmal suçu işleyen bir Alman vatandaşı üzerinde, Avrupa tutuklama müzekkeresi sistemi uyarınca işlediği suç için Birleşik Krallık’a teslim olmasını engelleyen cezai yargı yetkisi kullanmıştır. Başvuranlar, Almanya’nın kovuşturmayı özet ceza emri usulüne göre yaparak usul yükümlülüğünü yerine getirmemiş olduğundan, Birleşik Krallık’ın ise davanın, suçlunun daha ağır bir ceza alma ihtimali bulunan Birleşik Krallık’ta görülmesini sağlamak için gerekeni yapmadığından Mahkemeye </w:t>
      </w:r>
      <w:r w:rsidR="00A55381">
        <w:t>şikâyette</w:t>
      </w:r>
      <w:r w:rsidR="00F25813">
        <w:t xml:space="preserve"> bulunmuşlardır. Mahkeme, Almanya hususunda yer bakımından </w:t>
      </w:r>
      <w:r w:rsidR="00F25813">
        <w:rPr>
          <w:i/>
        </w:rPr>
        <w:t>(ratione loci)</w:t>
      </w:r>
      <w:r w:rsidR="00F25813">
        <w:t>yetkisini incelememiş ve Almanya’nın 2. madde kapsamındaki usul yükümlülüğünü yerine getirip getirmediğini inceleyerek ulusal hukuk uyarınca Alman makamlarının inisiyatifinde ceza davasın başlatmanın, 1.maddenin amaçları bakımından yargı yetkisi bağlantısı kurmak için yeterli olduğunu zımnen kabul etmiştir.</w:t>
      </w:r>
    </w:p>
    <w:p w:rsidR="00F25813" w:rsidRPr="007C6A77" w:rsidRDefault="00BB2D2A" w:rsidP="00F25813">
      <w:pPr>
        <w:pStyle w:val="ECHRPara"/>
        <w:rPr>
          <w:snapToGrid w:val="0"/>
        </w:rPr>
      </w:pPr>
      <w:r w:rsidRPr="007C6A77">
        <w:fldChar w:fldCharType="begin"/>
      </w:r>
      <w:r w:rsidR="00F25813" w:rsidRPr="007C6A77">
        <w:instrText xml:space="preserve"> SEQ level0 \*arabic </w:instrText>
      </w:r>
      <w:r w:rsidRPr="007C6A77">
        <w:fldChar w:fldCharType="separate"/>
      </w:r>
      <w:r w:rsidR="00332D11">
        <w:rPr>
          <w:noProof/>
        </w:rPr>
        <w:t>186</w:t>
      </w:r>
      <w:r w:rsidRPr="007C6A77">
        <w:fldChar w:fldCharType="end"/>
      </w:r>
      <w:r w:rsidR="00F25813">
        <w:t>.  </w:t>
      </w:r>
      <w:r w:rsidR="00F25813">
        <w:rPr>
          <w:i/>
        </w:rPr>
        <w:t>Aliyeva ve Aliyev</w:t>
      </w:r>
      <w:r w:rsidR="00A55381">
        <w:rPr>
          <w:i/>
        </w:rPr>
        <w:t xml:space="preserve"> </w:t>
      </w:r>
      <w:r w:rsidR="00F25813">
        <w:rPr>
          <w:i/>
        </w:rPr>
        <w:t>/</w:t>
      </w:r>
      <w:r w:rsidR="00A55381">
        <w:rPr>
          <w:i/>
        </w:rPr>
        <w:t xml:space="preserve"> </w:t>
      </w:r>
      <w:r w:rsidR="00F25813">
        <w:rPr>
          <w:i/>
        </w:rPr>
        <w:t xml:space="preserve">Azerbaycan </w:t>
      </w:r>
      <w:r w:rsidR="00F25813">
        <w:t>kararında (yukarıda anılan §§ 56-57), iki Azerbaycan vatandaşının da bulunduğu durumlarda</w:t>
      </w:r>
      <w:r w:rsidR="009945AF">
        <w:t xml:space="preserve"> </w:t>
      </w:r>
      <w:r w:rsidR="00F25813">
        <w:t xml:space="preserve">Ukrayna’da öldürülen bir Azerbaycan vatandaşının ebeveynleri tarafından Mahkeme huzurunda dava açılmıştır. Ukrayna ve Azerbaycan arasındaki karşılıklı adli yardım anlaşmasına dayanılarak dava Azerbaycan’a havale edilmiştir ancak Azerbaycan makamları, delil eksikliği gerekçesiyle dava işlemlerine devam etmemiştir. Mahkeme “ölümün vuku bulduğu yerden bağımsız olarak, </w:t>
      </w:r>
      <w:r w:rsidR="00F25813">
        <w:rPr>
          <w:i/>
          <w:snapToGrid w:val="0"/>
        </w:rPr>
        <w:t xml:space="preserve">Azerbaycan 1993 Minsk Anlaşması uyarınca </w:t>
      </w:r>
      <w:r w:rsidR="00F25813">
        <w:t xml:space="preserve">soruşturma yürütme yükümlülüğünü aldığı ve Ukrayna makamlarınca başlatılan ceza soruşturmasını sürdürmeyi kabul ettiği sürece, </w:t>
      </w:r>
      <w:r w:rsidR="00F25813">
        <w:rPr>
          <w:i/>
          <w:snapToGrid w:val="0"/>
        </w:rPr>
        <w:t xml:space="preserve">2. kapsamındaki usul yükümlülüğüne uygun olarak bu tür bir </w:t>
      </w:r>
      <w:r w:rsidR="00F25813">
        <w:t xml:space="preserve">soruşturma yürütme mecburiyetindedir” kanaatiyle resen yer bakımından </w:t>
      </w:r>
      <w:r w:rsidR="00F25813">
        <w:rPr>
          <w:i/>
        </w:rPr>
        <w:t>(ratione loci)</w:t>
      </w:r>
      <w:r w:rsidR="00F25813">
        <w:t xml:space="preserve"> uygunluk konusunu ortaya koymuştur (aynı yer, § 57). Bu, Azerbaycan’ın 1. madde kapsamındaki yargı yetkisinin, yürürlükteki uluslararası antlaşma ve ulusal yasa gereği Azerbaycan makamlarının kovuşturmayı Ukrayna’dan devralmaya karar vermesiyle mümkün olduğu anlamına gelmektedir.</w:t>
      </w:r>
    </w:p>
    <w:p w:rsidR="00F25813" w:rsidRPr="007C6A77" w:rsidRDefault="00BB2D2A" w:rsidP="00F25813">
      <w:pPr>
        <w:pStyle w:val="ECHRPara"/>
        <w:rPr>
          <w:snapToGrid w:val="0"/>
        </w:rPr>
      </w:pPr>
      <w:r w:rsidRPr="007C6A77">
        <w:rPr>
          <w:snapToGrid w:val="0"/>
        </w:rPr>
        <w:fldChar w:fldCharType="begin"/>
      </w:r>
      <w:r w:rsidR="00F25813" w:rsidRPr="007C6A77">
        <w:rPr>
          <w:snapToGrid w:val="0"/>
        </w:rPr>
        <w:instrText xml:space="preserve"> SEQ level0 \*arabic </w:instrText>
      </w:r>
      <w:r w:rsidRPr="007C6A77">
        <w:rPr>
          <w:snapToGrid w:val="0"/>
        </w:rPr>
        <w:fldChar w:fldCharType="separate"/>
      </w:r>
      <w:r w:rsidR="00332D11">
        <w:rPr>
          <w:noProof/>
          <w:snapToGrid w:val="0"/>
        </w:rPr>
        <w:t>187</w:t>
      </w:r>
      <w:r w:rsidRPr="007C6A77">
        <w:rPr>
          <w:snapToGrid w:val="0"/>
        </w:rPr>
        <w:fldChar w:fldCharType="end"/>
      </w:r>
      <w:r w:rsidR="00F25813">
        <w:t xml:space="preserve">.  Mahkeme, her iki sorumlu Hükümetin de Büyük Daire huzurunda sundukları görüşlerinde, 6. madde kapsamındaki </w:t>
      </w:r>
      <w:r w:rsidR="005C5FD3">
        <w:t>şikâyete</w:t>
      </w:r>
      <w:r w:rsidR="00F25813">
        <w:t xml:space="preserve"> ilişkin (yukarıda anılan) </w:t>
      </w:r>
      <w:r w:rsidR="00F25813">
        <w:rPr>
          <w:i/>
        </w:rPr>
        <w:t>Markavic v</w:t>
      </w:r>
      <w:r w:rsidR="006664FA">
        <w:rPr>
          <w:i/>
        </w:rPr>
        <w:t>e Diğerleri</w:t>
      </w:r>
      <w:r w:rsidR="00F25813">
        <w:t xml:space="preserve"> davasına </w:t>
      </w:r>
      <w:r w:rsidR="00F25813">
        <w:rPr>
          <w:i/>
          <w:snapToGrid w:val="0"/>
        </w:rPr>
        <w:t>atıfta</w:t>
      </w:r>
      <w:r w:rsidR="005C5FD3">
        <w:rPr>
          <w:i/>
          <w:snapToGrid w:val="0"/>
        </w:rPr>
        <w:t xml:space="preserve"> </w:t>
      </w:r>
      <w:r w:rsidR="00F25813">
        <w:t xml:space="preserve">bulunduklarını gözlemlemektedir. Büyük Daire, sözkonusu kararda, başvuranların İtalyan mahkemeleri önünde açtığı davanın sınırötesi olaylara ilişkin olduğu gerçeğine dayanarak sorumlu Hükümetin yer bakımından </w:t>
      </w:r>
      <w:r w:rsidR="00F25813">
        <w:rPr>
          <w:i/>
        </w:rPr>
        <w:t>(ratione loci)</w:t>
      </w:r>
      <w:r w:rsidR="00F25813">
        <w:t xml:space="preserve"> itirazını incelemiştir(Yugoslavya Federal Cumhuriyeti’nde NATO güçlerinin yaptığı hava saldırısı). Mahkeme, itirazı reddetmiş ve kişinin bir Devletin mahkemeleri huzurunda dava açması durumunda, 1. maddenin amaçları bakımından kesin olarak “yargı yetkisi bağlantısı” oluştuğu sonucuna varmıştır (aynı kararda bk. §§ 54-56). Ayrıca davanın merkezinde olduğu iddia edilen olayların sınırötesi tabiatının, hiçbir koşul altında, ilgili Devletin 6. madde kapsamında yer </w:t>
      </w:r>
      <w:r w:rsidR="00F25813">
        <w:rPr>
          <w:i/>
        </w:rPr>
        <w:t>(ratione loci)</w:t>
      </w:r>
      <w:r w:rsidR="00F25813">
        <w:t xml:space="preserve"> ve kişi </w:t>
      </w:r>
      <w:r w:rsidR="00F25813">
        <w:rPr>
          <w:i/>
        </w:rPr>
        <w:t>(ratione personae)</w:t>
      </w:r>
      <w:r w:rsidR="00F25813">
        <w:t xml:space="preserve"> bakımından</w:t>
      </w:r>
      <w:r w:rsidR="005C5FD3">
        <w:t xml:space="preserve"> </w:t>
      </w:r>
      <w:r w:rsidR="00F25813">
        <w:t>yargı</w:t>
      </w:r>
      <w:r w:rsidR="005C5FD3">
        <w:t xml:space="preserve"> </w:t>
      </w:r>
      <w:r w:rsidR="00F25813">
        <w:t>yetkisini etkileyemeyeceği sonucuna varmıştır (aynı kararda, § 54).</w:t>
      </w:r>
    </w:p>
    <w:p w:rsidR="00F25813" w:rsidRPr="007C6A77" w:rsidRDefault="00F25813" w:rsidP="00F25813">
      <w:pPr>
        <w:pStyle w:val="ECHRHeading4"/>
      </w:pPr>
      <w:r>
        <w:t>Mahkemenin yaklaşımı</w:t>
      </w:r>
    </w:p>
    <w:p w:rsidR="00F25813" w:rsidRPr="007C6A77" w:rsidRDefault="00BB2D2A" w:rsidP="00F25813">
      <w:pPr>
        <w:pStyle w:val="ECHRPara"/>
        <w:rPr>
          <w:snapToGrid w:val="0"/>
          <w:u w:val="single"/>
        </w:rPr>
      </w:pPr>
      <w:r w:rsidRPr="007C6A77">
        <w:rPr>
          <w:snapToGrid w:val="0"/>
        </w:rPr>
        <w:fldChar w:fldCharType="begin"/>
      </w:r>
      <w:r w:rsidR="00F25813" w:rsidRPr="007C6A77">
        <w:rPr>
          <w:snapToGrid w:val="0"/>
        </w:rPr>
        <w:instrText xml:space="preserve"> SEQ level0 \*arabic </w:instrText>
      </w:r>
      <w:r w:rsidRPr="007C6A77">
        <w:rPr>
          <w:snapToGrid w:val="0"/>
        </w:rPr>
        <w:fldChar w:fldCharType="separate"/>
      </w:r>
      <w:r w:rsidR="00332D11">
        <w:rPr>
          <w:noProof/>
          <w:snapToGrid w:val="0"/>
        </w:rPr>
        <w:t>188</w:t>
      </w:r>
      <w:r w:rsidRPr="007C6A77">
        <w:rPr>
          <w:snapToGrid w:val="0"/>
        </w:rPr>
        <w:fldChar w:fldCharType="end"/>
      </w:r>
      <w:r w:rsidR="00F25813">
        <w:t xml:space="preserve">.  Yukarıda kaydedilen dava ışığında, Akit Devletin soruşturma ya da adli makamlarının, sözkonusu Devletin yetki alanı dışında meydana gelen bir ölümle ilgili kendi ceza soruşturmasını ya da davasını başlatması durumunda, kendi ulusal kanunları sebebiyle (örneğin, evrensel yargı yetkisine ilişkin hükümler uyarınca ya da aktif veya pasif şahsiyet ilkesine dayanarak), bu soruşturmanın ya da davanın başlatılmasının, 1. maddenin amaçları bakımından Devlet ve daha sonra Mahkeme huzurunda dava açan maktul yakınları arasında yargısal yetki bağlantısı oluşturmak için yeterli olduğu anlaşılmaktadır (bk., gerekli değişikliklerin yapılması koşulu ile, yukarıda anılan </w:t>
      </w:r>
      <w:r w:rsidR="00F25813">
        <w:rPr>
          <w:i/>
        </w:rPr>
        <w:t xml:space="preserve">Markovic </w:t>
      </w:r>
      <w:r w:rsidR="004061C7">
        <w:rPr>
          <w:i/>
        </w:rPr>
        <w:t>ve Diğerleri</w:t>
      </w:r>
      <w:r w:rsidR="00F25813">
        <w:t>, §§ 54-55).</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189</w:t>
      </w:r>
      <w:r w:rsidRPr="007C6A77">
        <w:fldChar w:fldCharType="end"/>
      </w:r>
      <w:r w:rsidR="00F25813">
        <w:t>.  Mahkeme, bu yaklaşımın 2. madde uyarınca, her ne kadar sözkonusu hükmün esasa ilişkin özelliklerine dair olaylar tarafından tetiklenmiş olsa da, daha sonra ayrı ve özerk bir yükümlülüğe dönüşen, etkili bir soruşturma yürütmeye dair usul yükümlülüğün tabiatına uygun olduğunu vurgulamaktadır (bk.</w:t>
      </w:r>
      <w:r w:rsidR="003B2DBC">
        <w:t xml:space="preserve"> </w:t>
      </w:r>
      <w:r w:rsidR="00F25813">
        <w:rPr>
          <w:i/>
        </w:rPr>
        <w:t>Šilih</w:t>
      </w:r>
      <w:r w:rsidR="003B2DBC">
        <w:rPr>
          <w:i/>
        </w:rPr>
        <w:t xml:space="preserve"> </w:t>
      </w:r>
      <w:r w:rsidR="00F25813">
        <w:rPr>
          <w:i/>
        </w:rPr>
        <w:t>/</w:t>
      </w:r>
      <w:r w:rsidR="003B2DBC">
        <w:rPr>
          <w:i/>
        </w:rPr>
        <w:t xml:space="preserve"> </w:t>
      </w:r>
      <w:r w:rsidR="00F25813">
        <w:rPr>
          <w:i/>
        </w:rPr>
        <w:t>Slovenya</w:t>
      </w:r>
      <w:r w:rsidR="00F25813">
        <w:t xml:space="preserve"> [BD], </w:t>
      </w:r>
      <w:r w:rsidR="00964336">
        <w:t>No.</w:t>
      </w:r>
      <w:r w:rsidR="00F25813">
        <w:t xml:space="preserve"> 71463/01, § 159, 9 Nisan 2009, ve </w:t>
      </w:r>
      <w:r w:rsidR="00F25813">
        <w:rPr>
          <w:i/>
        </w:rPr>
        <w:t xml:space="preserve">Janowiec </w:t>
      </w:r>
      <w:r w:rsidR="004A3365">
        <w:rPr>
          <w:i/>
        </w:rPr>
        <w:t xml:space="preserve">ve Diğerleri </w:t>
      </w:r>
      <w:r w:rsidR="00F25813">
        <w:rPr>
          <w:i/>
        </w:rPr>
        <w:t>/</w:t>
      </w:r>
      <w:r w:rsidR="004A3365">
        <w:rPr>
          <w:i/>
        </w:rPr>
        <w:t xml:space="preserve"> </w:t>
      </w:r>
      <w:r w:rsidR="00F25813">
        <w:rPr>
          <w:i/>
        </w:rPr>
        <w:t xml:space="preserve">Rusya </w:t>
      </w:r>
      <w:r w:rsidR="00F25813">
        <w:t xml:space="preserve">[BD], </w:t>
      </w:r>
      <w:r w:rsidR="00964336">
        <w:t>No.</w:t>
      </w:r>
      <w:r w:rsidR="00F25813">
        <w:t xml:space="preserve"> 55508/07 ve 29520/09, § 132, AİHM 2013).  Bu bağlamda, 2. maddeden kaynaklanan ayrılabilir bir yükümlülük olarak ve ölüm yargı yetkisi dışında meydana gelmiş olsa dahi Devleti bağlayıcı özellikte olduğu kabul edilebilir (bk., gerekli değişikliklerin yapılması koşulu ile, Šilih, § 159, zaman bakımından uygunluğa dair). </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190</w:t>
      </w:r>
      <w:r w:rsidRPr="007C6A77">
        <w:fldChar w:fldCharType="end"/>
      </w:r>
      <w:r w:rsidR="00F25813">
        <w:t xml:space="preserve">.  Akit Devlet tarafından ulusal hukuka göre soruşturma ya da yasal işlem başlatılmaması durumunda, Mahkeme bir Devletin yargı yetkisi dışında meydana gelen bir ölüm hususunda, 2. maddenin getirdiği usul yükümlülüğünün yürürlüğe girmesi için her halükarda yargı yetkisi bağlantısı kurulup kurulamayacağına karar vermek durumundadır. 2. madde kapsamındaki usul yükümlülüğü, ilke olarak, yalnızca, merhumun ölüm zamanında yargı yetkisi </w:t>
      </w:r>
      <w:r w:rsidR="007F3C38">
        <w:t>dâhil</w:t>
      </w:r>
      <w:r w:rsidR="00F25813">
        <w:t xml:space="preserve">inde bulunduğu Akit Devlet için getirilebilir; bununla birlikte, bir davadaki “belirli özellikler” </w:t>
      </w:r>
      <w:r w:rsidR="00F25813">
        <w:rPr>
          <w:i/>
        </w:rPr>
        <w:t>Rantsev</w:t>
      </w:r>
      <w:r w:rsidR="00F25813">
        <w:t xml:space="preserve"> kararının §§ 243-44’te ortaya konan ilkeler uyarınca bu yaklaşımdan ayrılmayı haklı çıkaracaktır. Ancak Mahkeme, “belirli özelliklerin” her davanın özel koşullarına göre değişiklik gösterecek olması ve bir davadan diğerine ciddi şekilde çeşitlilik gösterebilmesi nedeniyle 2. madde kapsamında soruşturma yürütmeye dair usul yükümlülüğü hususunda “yargı yetkisi bağlantısı”nın mevcudiyetine hangi “belirli özelliklerin” yol açtığını tetiklediğini özet olarak </w:t>
      </w:r>
      <w:r w:rsidR="00F25813">
        <w:rPr>
          <w:i/>
        </w:rPr>
        <w:t xml:space="preserve">(in abstracto) </w:t>
      </w:r>
      <w:r w:rsidR="00F25813">
        <w:t>tanımlaması gerekmediği kanaatindedir.</w:t>
      </w:r>
    </w:p>
    <w:p w:rsidR="00F25813" w:rsidRPr="007C6A77" w:rsidRDefault="00F25813" w:rsidP="00F25813">
      <w:pPr>
        <w:pStyle w:val="ECHRHeading4"/>
        <w:rPr>
          <w:snapToGrid w:val="0"/>
        </w:rPr>
      </w:pPr>
      <w:r>
        <w:t>Bu kriterlerin mevcut davaya uygulanması</w:t>
      </w:r>
    </w:p>
    <w:p w:rsidR="00F25813" w:rsidRPr="007C6A77" w:rsidRDefault="00BB2D2A" w:rsidP="00F25813">
      <w:pPr>
        <w:pStyle w:val="ECHRPara"/>
        <w:rPr>
          <w:snapToGrid w:val="0"/>
        </w:rPr>
      </w:pPr>
      <w:r w:rsidRPr="007C6A77">
        <w:rPr>
          <w:snapToGrid w:val="0"/>
        </w:rPr>
        <w:fldChar w:fldCharType="begin"/>
      </w:r>
      <w:r w:rsidR="00F25813" w:rsidRPr="007C6A77">
        <w:rPr>
          <w:snapToGrid w:val="0"/>
        </w:rPr>
        <w:instrText xml:space="preserve"> SEQ level0 \*arabic </w:instrText>
      </w:r>
      <w:r w:rsidRPr="007C6A77">
        <w:rPr>
          <w:snapToGrid w:val="0"/>
        </w:rPr>
        <w:fldChar w:fldCharType="separate"/>
      </w:r>
      <w:r w:rsidR="00332D11">
        <w:rPr>
          <w:noProof/>
          <w:snapToGrid w:val="0"/>
        </w:rPr>
        <w:t>191</w:t>
      </w:r>
      <w:r w:rsidRPr="007C6A77">
        <w:rPr>
          <w:snapToGrid w:val="0"/>
        </w:rPr>
        <w:fldChar w:fldCharType="end"/>
      </w:r>
      <w:r w:rsidR="00F25813">
        <w:t xml:space="preserve">.  Mahkeme, mevcut davada öncelikle </w:t>
      </w:r>
      <w:r w:rsidR="008B4471">
        <w:t>“KKTC”</w:t>
      </w:r>
      <w:r w:rsidR="00F25813">
        <w:t xml:space="preserve"> makamlarının, </w:t>
      </w:r>
      <w:r w:rsidR="008B4471">
        <w:t>“KKTC”</w:t>
      </w:r>
      <w:r w:rsidR="00F25813">
        <w:t xml:space="preserve"> mahkemelerine Kıbrıs adasının tamamında, herhangi bir yerde, suç işleyen şahıslar üzerinde cezai yargı yetkisi veren kendi ulusal kanunları uyarınca, başvuranların yakınlarının öldürülmesine ilişkin kendi ceza soruşturmalarını başlattıklarını gözlemlemektedir (bk. yukarıdaki 143. paragraf). Soruşturma sürecinde, kasten adam öldürme şüphesiyle çok sayıda şüpheli tutuklanmış ve gözaltına alınmış ve başvuranların da ifadeleri alınmıştır (en azından ilk başvuranın). Sözkonusu koşullar altında, Mahkeme yakınlarının ölümü hususunda 2. maddenin usule ilişkin bölümü açısından şikayette bulunan başvuranlar ve </w:t>
      </w:r>
      <w:r w:rsidR="008B4471">
        <w:t>“KKTC”</w:t>
      </w:r>
      <w:r w:rsidR="00F25813">
        <w:t xml:space="preserve"> makamlarının eylemleri ve ihmalleri sebebiyle Sözleşme uyarınca sorumluluk altına giren Türkiye arasında “yargı yetkisi bağlantısı” bulunduğu sonucuna varmaktadır (bk. yukarıda anılan </w:t>
      </w:r>
      <w:r w:rsidR="00F25813">
        <w:rPr>
          <w:i/>
          <w:snapToGrid w:val="0"/>
        </w:rPr>
        <w:t>Kıbrıs</w:t>
      </w:r>
      <w:r w:rsidR="00F40194">
        <w:rPr>
          <w:i/>
          <w:snapToGrid w:val="0"/>
        </w:rPr>
        <w:t xml:space="preserve"> </w:t>
      </w:r>
      <w:r w:rsidR="00F25813">
        <w:rPr>
          <w:i/>
          <w:snapToGrid w:val="0"/>
        </w:rPr>
        <w:t>/</w:t>
      </w:r>
      <w:r w:rsidR="00F40194">
        <w:rPr>
          <w:i/>
          <w:snapToGrid w:val="0"/>
        </w:rPr>
        <w:t xml:space="preserve"> </w:t>
      </w:r>
      <w:r w:rsidR="00F25813">
        <w:rPr>
          <w:i/>
          <w:snapToGrid w:val="0"/>
        </w:rPr>
        <w:t xml:space="preserve">Türkiye </w:t>
      </w:r>
      <w:r w:rsidR="00F25813">
        <w:t xml:space="preserve"> § 77, </w:t>
      </w:r>
      <w:r w:rsidR="00F25813">
        <w:rPr>
          <w:i/>
        </w:rPr>
        <w:t xml:space="preserve">ve örneğin yukarıda anılan Adalı kararı, </w:t>
      </w:r>
      <w:r w:rsidR="00F25813">
        <w:t>§§ 221-33).</w:t>
      </w:r>
    </w:p>
    <w:p w:rsidR="00F25813" w:rsidRPr="007C6A77" w:rsidRDefault="00BB2D2A" w:rsidP="00F25813">
      <w:pPr>
        <w:pStyle w:val="ECHRPara"/>
        <w:rPr>
          <w:snapToGrid w:val="0"/>
        </w:rPr>
      </w:pPr>
      <w:r w:rsidRPr="007C6A77">
        <w:rPr>
          <w:snapToGrid w:val="0"/>
        </w:rPr>
        <w:fldChar w:fldCharType="begin"/>
      </w:r>
      <w:r w:rsidR="00F25813" w:rsidRPr="007C6A77">
        <w:rPr>
          <w:snapToGrid w:val="0"/>
        </w:rPr>
        <w:instrText xml:space="preserve"> SEQ level0 \*arabic </w:instrText>
      </w:r>
      <w:r w:rsidRPr="007C6A77">
        <w:rPr>
          <w:snapToGrid w:val="0"/>
        </w:rPr>
        <w:fldChar w:fldCharType="separate"/>
      </w:r>
      <w:r w:rsidR="00332D11">
        <w:rPr>
          <w:noProof/>
          <w:snapToGrid w:val="0"/>
        </w:rPr>
        <w:t>192</w:t>
      </w:r>
      <w:r w:rsidRPr="007C6A77">
        <w:rPr>
          <w:snapToGrid w:val="0"/>
        </w:rPr>
        <w:fldChar w:fldCharType="end"/>
      </w:r>
      <w:r w:rsidR="00F25813">
        <w:t>.  Buna ek olarak ve tarafların ifadeleri göz önüne alındığında, Mahkeme Kıbrıs’ta mevcut davada</w:t>
      </w:r>
      <w:r w:rsidR="00F87D87">
        <w:t xml:space="preserve"> </w:t>
      </w:r>
      <w:r w:rsidR="00F25813">
        <w:rPr>
          <w:i/>
          <w:snapToGrid w:val="0"/>
        </w:rPr>
        <w:t>Rantsev</w:t>
      </w:r>
      <w:r w:rsidR="00F25813">
        <w:t xml:space="preserve"> kararında benimsenen genel yaklaşımdan uzaklaşılmasını haklı gösteren ve böylece Türkiye’ye 2. madde uyarınca usul yükümlülüğü </w:t>
      </w:r>
      <w:r w:rsidR="00543291">
        <w:t>getirme yönünde</w:t>
      </w:r>
      <w:r w:rsidR="00F25813">
        <w:t xml:space="preserve"> “belirli özellikler” ol</w:t>
      </w:r>
      <w:r w:rsidR="00543291">
        <w:t>uşturduğu</w:t>
      </w:r>
      <w:r w:rsidR="00F25813">
        <w:t xml:space="preserve"> sonucuna varmaktadır.</w:t>
      </w:r>
    </w:p>
    <w:p w:rsidR="00F25813" w:rsidRPr="007C6A77" w:rsidRDefault="00BB2D2A" w:rsidP="00F25813">
      <w:pPr>
        <w:pStyle w:val="ECHRPara"/>
      </w:pPr>
      <w:r w:rsidRPr="007C6A77">
        <w:rPr>
          <w:snapToGrid w:val="0"/>
        </w:rPr>
        <w:fldChar w:fldCharType="begin"/>
      </w:r>
      <w:r w:rsidR="00F25813" w:rsidRPr="007C6A77">
        <w:rPr>
          <w:snapToGrid w:val="0"/>
        </w:rPr>
        <w:instrText xml:space="preserve"> SEQ level0 \*arabic </w:instrText>
      </w:r>
      <w:r w:rsidRPr="007C6A77">
        <w:rPr>
          <w:snapToGrid w:val="0"/>
        </w:rPr>
        <w:fldChar w:fldCharType="separate"/>
      </w:r>
      <w:r w:rsidR="00332D11">
        <w:rPr>
          <w:noProof/>
          <w:snapToGrid w:val="0"/>
        </w:rPr>
        <w:t>193</w:t>
      </w:r>
      <w:r w:rsidRPr="007C6A77">
        <w:rPr>
          <w:snapToGrid w:val="0"/>
        </w:rPr>
        <w:fldChar w:fldCharType="end"/>
      </w:r>
      <w:r w:rsidR="00F25813">
        <w:t xml:space="preserve">.  Mahkeme öncelikle ulusal toplumun, Türkiye’nin Kıbrıs’ın kuzey kısmını işgal ettiği görüşünde olduğunu (bk. </w:t>
      </w:r>
      <w:r w:rsidR="00F25813">
        <w:rPr>
          <w:i/>
        </w:rPr>
        <w:t xml:space="preserve">Demopoulos </w:t>
      </w:r>
      <w:r w:rsidR="0070367E">
        <w:rPr>
          <w:i/>
        </w:rPr>
        <w:t xml:space="preserve">ve Diğerleri </w:t>
      </w:r>
      <w:r w:rsidR="00F25813">
        <w:rPr>
          <w:i/>
        </w:rPr>
        <w:t>/</w:t>
      </w:r>
      <w:r w:rsidR="00D652FC">
        <w:rPr>
          <w:i/>
        </w:rPr>
        <w:t xml:space="preserve"> </w:t>
      </w:r>
      <w:r w:rsidR="00F25813">
        <w:rPr>
          <w:i/>
        </w:rPr>
        <w:t>Türkiye</w:t>
      </w:r>
      <w:r w:rsidR="00F25813">
        <w:t xml:space="preserve"> (karar) [BD], </w:t>
      </w:r>
      <w:r w:rsidR="00964336">
        <w:t>No.</w:t>
      </w:r>
      <w:r w:rsidR="00F25813">
        <w:t xml:space="preserve"> 46113/99 ve 7 diğerleri, § 114, AİHM 2010) ve uluslararası toplumun </w:t>
      </w:r>
      <w:r w:rsidR="008B4471">
        <w:t>“KKTC”</w:t>
      </w:r>
      <w:r w:rsidR="00F25813">
        <w:t>yi uluslararası hukuk uyarınca bir Devlet olarak kabul etmediğini (bk.</w:t>
      </w:r>
      <w:r w:rsidR="00844E57">
        <w:t xml:space="preserve"> </w:t>
      </w:r>
      <w:r w:rsidR="00F25813">
        <w:rPr>
          <w:i/>
          <w:snapToGrid w:val="0"/>
        </w:rPr>
        <w:t>Kıbrıs</w:t>
      </w:r>
      <w:r w:rsidR="00844E57">
        <w:rPr>
          <w:i/>
          <w:snapToGrid w:val="0"/>
        </w:rPr>
        <w:t xml:space="preserve"> </w:t>
      </w:r>
      <w:r w:rsidR="00F25813">
        <w:rPr>
          <w:i/>
          <w:snapToGrid w:val="0"/>
        </w:rPr>
        <w:t>/</w:t>
      </w:r>
      <w:r w:rsidR="00844E57">
        <w:rPr>
          <w:i/>
          <w:snapToGrid w:val="0"/>
        </w:rPr>
        <w:t xml:space="preserve"> </w:t>
      </w:r>
      <w:r w:rsidR="00F25813">
        <w:rPr>
          <w:i/>
          <w:snapToGrid w:val="0"/>
        </w:rPr>
        <w:t>Türkiye</w:t>
      </w:r>
      <w:r w:rsidR="00F25813">
        <w:t>, 61. paragraf; bk. yukarıdaki 159-61. paragraflar).  Mahkeme, kuzey Kıbrıs’ın, Sözleşme’nin amaçları bakımından, Türkiye’nin etkin kontrolü altında olduğunu tespit etmiştir (bk.</w:t>
      </w:r>
      <w:r w:rsidR="00F25813">
        <w:rPr>
          <w:i/>
          <w:snapToGrid w:val="0"/>
        </w:rPr>
        <w:t xml:space="preserve"> Kıbrıs</w:t>
      </w:r>
      <w:r w:rsidR="00844E57">
        <w:rPr>
          <w:i/>
          <w:snapToGrid w:val="0"/>
        </w:rPr>
        <w:t xml:space="preserve"> </w:t>
      </w:r>
      <w:r w:rsidR="00F25813">
        <w:rPr>
          <w:i/>
          <w:snapToGrid w:val="0"/>
        </w:rPr>
        <w:t>/</w:t>
      </w:r>
      <w:r w:rsidR="00844E57">
        <w:rPr>
          <w:i/>
          <w:snapToGrid w:val="0"/>
        </w:rPr>
        <w:t xml:space="preserve"> </w:t>
      </w:r>
      <w:r w:rsidR="00F25813">
        <w:rPr>
          <w:i/>
          <w:snapToGrid w:val="0"/>
        </w:rPr>
        <w:t>Türkiye</w:t>
      </w:r>
      <w:r w:rsidR="00F25813">
        <w:t xml:space="preserve">, yukarıda anılan, § 77). Bu özel bağlamda ayrıca Kıbrıs Cumhuriyeti’nin kuzey Kıbrıs’taki Sözleşme yükümlülüklerini yerine getirmemeye devam ettiğine ve Türkiye’nin bu alanda Sözleşme’de ortaya konan tüm temel hakları güvence altına almaya dair genel sorumluluğuna atıfta bulunmuştur (bk. yukarıda anılan </w:t>
      </w:r>
      <w:r w:rsidR="00F25813">
        <w:rPr>
          <w:i/>
        </w:rPr>
        <w:t>Kıbrıs</w:t>
      </w:r>
      <w:r w:rsidR="009C0FB7">
        <w:rPr>
          <w:i/>
        </w:rPr>
        <w:t xml:space="preserve"> </w:t>
      </w:r>
      <w:r w:rsidR="00F25813">
        <w:rPr>
          <w:i/>
        </w:rPr>
        <w:t>/</w:t>
      </w:r>
      <w:r w:rsidR="009C0FB7">
        <w:rPr>
          <w:i/>
        </w:rPr>
        <w:t xml:space="preserve"> </w:t>
      </w:r>
      <w:r w:rsidR="00F25813">
        <w:rPr>
          <w:i/>
        </w:rPr>
        <w:t xml:space="preserve">Türkiye, </w:t>
      </w:r>
      <w:r w:rsidR="00F25813">
        <w:t>§§ 77</w:t>
      </w:r>
      <w:r w:rsidR="001E5825" w:rsidRPr="007C6A77">
        <w:sym w:font="Symbol" w:char="F02D"/>
      </w:r>
      <w:r w:rsidR="00F25813">
        <w:t>78). Tanınmayan oluşumlarda sınır</w:t>
      </w:r>
      <w:r w:rsidR="00F12F5C">
        <w:t xml:space="preserve"> </w:t>
      </w:r>
      <w:r w:rsidR="00F25813">
        <w:t xml:space="preserve">ötesi yargı yetkisinin uygulanmasına genel yaklaşım kapsamında Mahkeme, kişilerin korunmasına yönelik Avrupa kamu düzeni belgesi olan Sözleşme’nin özel karakterini göz önüne almış ve böylelikle, Sözleşme kapsamındaki hakların tüm Akit Devletlerin topraklarında korunmasını garanti etme amacını gözetmiştir (bk. yukarıda anılan </w:t>
      </w:r>
      <w:r w:rsidR="00F25813">
        <w:rPr>
          <w:i/>
        </w:rPr>
        <w:t>Kıbrıs</w:t>
      </w:r>
      <w:r w:rsidR="009C0FB7">
        <w:rPr>
          <w:i/>
        </w:rPr>
        <w:t xml:space="preserve"> </w:t>
      </w:r>
      <w:r w:rsidR="00F25813">
        <w:rPr>
          <w:i/>
        </w:rPr>
        <w:t>/</w:t>
      </w:r>
      <w:r w:rsidR="009C0FB7">
        <w:rPr>
          <w:i/>
        </w:rPr>
        <w:t xml:space="preserve"> </w:t>
      </w:r>
      <w:r w:rsidR="00F25813">
        <w:rPr>
          <w:i/>
        </w:rPr>
        <w:t xml:space="preserve">Türkiye, § </w:t>
      </w:r>
      <w:r w:rsidR="00F25813">
        <w:t xml:space="preserve">78 ve yukarıda anılan </w:t>
      </w:r>
      <w:r w:rsidR="00F25813">
        <w:rPr>
          <w:i/>
        </w:rPr>
        <w:t>Mozer</w:t>
      </w:r>
      <w:r w:rsidR="00F25813">
        <w:t>, § 136).</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194</w:t>
      </w:r>
      <w:r w:rsidRPr="007C6A77">
        <w:fldChar w:fldCharType="end"/>
      </w:r>
      <w:r w:rsidR="00F25813">
        <w:t xml:space="preserve">.  İkinci olarak Mahkeme, mevcut davada cinayet şüphelilerinin </w:t>
      </w:r>
      <w:r w:rsidR="008B4471">
        <w:t>“KKTC”</w:t>
      </w:r>
      <w:r w:rsidR="00F25813">
        <w:t>ye kaçtıklarını ve sonuç olarak Kıbrıs’ın bu şüpheliler hakkında kendi ceza soruşturmasını yürütmesine ve Sözleşme yükümlülüklerini yerine getirmesine engel olunduğunu gözlemlemektedir (2006’da Kıbrıs</w:t>
      </w:r>
      <w:r w:rsidR="001E5825" w:rsidRPr="007C6A77">
        <w:sym w:font="Symbol" w:char="F02D"/>
      </w:r>
      <w:r w:rsidR="00F25813">
        <w:t xml:space="preserve">kontrolündeki bölgede tutuklanan sekizinci şüpheli hariç). Türk ve </w:t>
      </w:r>
      <w:r w:rsidR="008B4471">
        <w:t>“KKTC”</w:t>
      </w:r>
      <w:r w:rsidR="00F25813">
        <w:t xml:space="preserve"> makamları suçtan haberdar edilmiş ve şüpheliler hakkında Interpol tarafından Kırmızı Bülten çıkarılmıştır. Cinayeti takip eden haftalarda belirli müddet boyunca kendilerini kasten adam öldürmekten gözaltına alan Türk ve </w:t>
      </w:r>
      <w:r w:rsidR="008B4471">
        <w:t>“KKTC”</w:t>
      </w:r>
      <w:r w:rsidR="00F25813">
        <w:t xml:space="preserve"> makamları tarafından, şüphelilerin Türkiye’nin kontrolündeki topraklarda bulundukları bilmekteydi.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195</w:t>
      </w:r>
      <w:r w:rsidRPr="007C6A77">
        <w:fldChar w:fldCharType="end"/>
      </w:r>
      <w:r w:rsidR="00F25813">
        <w:t xml:space="preserve">.  Sözkonusu iki belirli özelliği göz önüne alan Mahkeme, Türkiye’nin Sözleşme’nin 1. maddesi kapsamındaki yargı yetkisinin, başvuranın 2. maddenin usule ilişkin bölümü uyarınca yaptığı </w:t>
      </w:r>
      <w:r w:rsidR="003B2DBC">
        <w:t>şikâyet</w:t>
      </w:r>
      <w:r w:rsidR="00F25813">
        <w:t xml:space="preserve"> hususunda belirlendiği kanaatindedir. Herhangi bir diğer tespit, “Sözleşme’nin yasal alanı”na </w:t>
      </w:r>
      <w:r w:rsidR="007F3C38">
        <w:t>dâhil</w:t>
      </w:r>
      <w:r w:rsidR="00F25813">
        <w:t xml:space="preserve"> olan Kıbrıs topraklarında (bk. yukarıda anılan </w:t>
      </w:r>
      <w:r w:rsidR="00F25813">
        <w:rPr>
          <w:i/>
        </w:rPr>
        <w:t>Kıbrıs</w:t>
      </w:r>
      <w:r w:rsidR="009C0FB7">
        <w:rPr>
          <w:i/>
        </w:rPr>
        <w:t xml:space="preserve"> </w:t>
      </w:r>
      <w:r w:rsidR="00F25813">
        <w:rPr>
          <w:i/>
        </w:rPr>
        <w:t>/</w:t>
      </w:r>
      <w:r w:rsidR="009C0FB7">
        <w:rPr>
          <w:i/>
        </w:rPr>
        <w:t xml:space="preserve"> </w:t>
      </w:r>
      <w:r w:rsidR="00F25813">
        <w:rPr>
          <w:i/>
        </w:rPr>
        <w:t>Türkiye</w:t>
      </w:r>
      <w:r w:rsidR="00F25813">
        <w:t xml:space="preserve">, § 78) insan haklarını koruma sisteminde boşluğa yol açacaktır. Bu da Kıbrıs tarafından kontrol eden topraklardan kaçan katiller için </w:t>
      </w:r>
      <w:r w:rsidR="008B4471">
        <w:t>“KKTC”</w:t>
      </w:r>
      <w:r w:rsidR="00F25813">
        <w:t>de güvenli bölge yaratma riskini doğuracak ve böylece, vatandaşlarının ve esasen yargı yetkisine giren tüm kişilerin yaşam haklarını korumak üzere Kıbrıs Hükümeti tarafından konan ceza hukukunun uygulanmasını engelleyecektir.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196</w:t>
      </w:r>
      <w:r w:rsidRPr="007C6A77">
        <w:fldChar w:fldCharType="end"/>
      </w:r>
      <w:r w:rsidR="00F25813">
        <w:t xml:space="preserve">.  Mahkeme, yukarıda incelenen iki unsurun </w:t>
      </w:r>
      <w:r w:rsidR="003B2DBC">
        <w:t>her birinin</w:t>
      </w:r>
      <w:r w:rsidR="00F25813">
        <w:t xml:space="preserve"> - bir yanda, </w:t>
      </w:r>
      <w:r w:rsidR="008B4471">
        <w:t>“KKTC”</w:t>
      </w:r>
      <w:r w:rsidR="00F25813">
        <w:t xml:space="preserve"> makamlarının ceza soruşturması başlatmasının ve diğer yanda, şüphelilerin Kıbrıs’ın Türkiye’nin etkin kontrolünde bulunan kısmına kaçmasının - Türkiye ile yargı yetkisi bağlantısı kurmak için yeterli olduğunu vurgulamaktadır.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197</w:t>
      </w:r>
      <w:r w:rsidRPr="007C6A77">
        <w:fldChar w:fldCharType="end"/>
      </w:r>
      <w:r w:rsidR="00F25813">
        <w:t xml:space="preserve">.  Bu nedenle Mahkeme, Türk Hükümetinin yer bakımından </w:t>
      </w:r>
      <w:r w:rsidR="00F25813">
        <w:rPr>
          <w:i/>
        </w:rPr>
        <w:t xml:space="preserve">(ratione loci) </w:t>
      </w:r>
      <w:r w:rsidR="00543291">
        <w:t>yetkili olmadığına</w:t>
      </w:r>
      <w:r w:rsidR="00F25813">
        <w:t xml:space="preserve"> ilişkin ön itirazının reddedilmesi gerektiği sonucuna varmaktadır. Davanın koşullarında Türkiye’nin üzerine düşen usul yükümlülüklerinin ölçüsü ve kapsamı, Kıbrıs ile işbirliği yapma zorunluluğu getirip getirmediği de </w:t>
      </w:r>
      <w:r w:rsidR="007F3C38">
        <w:t>dâhil</w:t>
      </w:r>
      <w:r w:rsidR="00F25813">
        <w:t xml:space="preserve"> olmak üzere, </w:t>
      </w:r>
      <w:r w:rsidR="00E154EF">
        <w:t>sözkonusu</w:t>
      </w:r>
      <w:r w:rsidR="00F25813">
        <w:t xml:space="preserve"> şikâyetlerin esaslarının Mahkeme tarafından değerlendirilmesinde belirtilecektir.</w:t>
      </w:r>
    </w:p>
    <w:p w:rsidR="00F25813" w:rsidRPr="007C6A77" w:rsidRDefault="00F25813" w:rsidP="00F25813">
      <w:pPr>
        <w:pStyle w:val="ECHRHeading2"/>
      </w:pPr>
      <w:r>
        <w:t>Esaslar</w:t>
      </w:r>
    </w:p>
    <w:p w:rsidR="00F25813" w:rsidRPr="007C6A77" w:rsidRDefault="00F25813" w:rsidP="00F25813">
      <w:pPr>
        <w:pStyle w:val="ECHRHeading3"/>
      </w:pPr>
      <w:r>
        <w:t>1.  Daire kararı</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198</w:t>
      </w:r>
      <w:r w:rsidRPr="007C6A77">
        <w:fldChar w:fldCharType="end"/>
      </w:r>
      <w:r w:rsidR="00F25813">
        <w:t xml:space="preserve">.  Daire, ilk olarak başvuranların davalı Devletlerin makamlarınca yürütülen iki paralel soruşturmaya ilişkin eleştirilerini incelemiştir (bk. Daire kararının 264-81. paragraflar). Yukarıdakilerden de anlaşılacağı üzere, davalı Devletlerin makamlarının ivedilikle önemli sayıda soruşturma adımı attığı açıktır. Önemli miktarda kanıt toplanmış ve sekiz şüpheli hızla tespit edilip izlenmiş ve tutuklanmıştır (bk. Daire kararının 266., 269., 276. ve 277. paragrafları). Daire, başvuranların iade talepleri hususunda Kıbrıs aleyhindeki sıkıntılarına ilişkin olarak taleplerin doğru veya doğru kanallarla yapılmadığına dair bir işaret olmadığını ve Kırmızı Bülten yayımlandıktan üç buçuk yıl sonra yapılmış olmalarının önemli bir engel teşkil etmediğini belirtmiştir (bk. Daire kararının 272. paragrafı). Daire ayrıca başvuranların Kıbrıs makamları tarafından yürütülen soruşturmanın dışında tutulduklarına ikna olmadığını belirtmiştir (bk. Daire kararının 274. paragrafı). Daire, </w:t>
      </w:r>
      <w:r w:rsidR="008B4471">
        <w:t>“KKTC”</w:t>
      </w:r>
      <w:r w:rsidR="00F25813">
        <w:t xml:space="preserve"> makamlarınca yürütülen soruşturmaya ilişkin olarak, soruşturmanın delil yetersizliği nedeniyle kovuşturmayla sonuçlanmadığını belirtmiştir (bk. Daire kararının 280. paragrafı). Bu nedenle Daire, ilgili soruşturmaların kendi içinde genel olarak yeterliliğini şüpheye düşürecek bir eksiklik görmemiştir. Ancak, davalı Devletler arasında işbirliği olmadığı yönünde vardığı sonucu göz önüne alarak 2. madde kapsamında başka bir sonuca varmanın gerekli olmadığı kanısına varmıştır (bk. Daire kararının 281. paragrafı).</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199</w:t>
      </w:r>
      <w:r w:rsidRPr="007C6A77">
        <w:fldChar w:fldCharType="end"/>
      </w:r>
      <w:r w:rsidR="00F25813">
        <w:t xml:space="preserve">.  Daire her iki davalı Devletin yetkili makamlarının sözkonusu koşullar altında kendilerinden makul ölçüde beklenen her adımı atıp atmadıkları sorusunu ele almıştır. Başvuranın davasında olduğu gibi, kanundışı adam öldürmeye ilişkin soruşturmanın kaçınılmaz bir şekilde birden fazla Devleti kapsadığı durumlarda, davalı Devletler işbirliği yapma ve davanın bütününe ilişkin etkili bir soruşturmayı kolaylaştırmak ve yürütmek için gerekli tüm makul adımları atmakla yükümlüdür (bk. Daire kararının 285. paragrafı). Daireye göre, Davalı devletlerin </w:t>
      </w:r>
      <w:r w:rsidR="00E562AE">
        <w:t>BMBG</w:t>
      </w:r>
      <w:r w:rsidR="00F25813">
        <w:t xml:space="preserve"> aracılığıyla bir çözüm bulma ve uzlaşmaya varma fırsatı olmasına rağmen, sözkonusu Devletler bu fırsatı tam olarak kullanmamıştır. Uzlaşmacı çözüm bulma ya da ilgili makamların ortak noktada buluşması (iki taraf arasında tarafsız toprak, BM tampon bölgesindeki şüphelilerin sorgulanması, tarafsız bir yerde geçici </w:t>
      </w:r>
      <w:r w:rsidR="00F25813">
        <w:rPr>
          <w:i/>
        </w:rPr>
        <w:t xml:space="preserve">(ad hoc) </w:t>
      </w:r>
      <w:r w:rsidR="00F25813">
        <w:t xml:space="preserve">duruşma hususundaki toplantılar gibi) çabalarına yönelik tüm öneriler, sözkonusu makamlar tarafından reddedilmiştir. Bu tutum, Kıbrıs ve Türkiye arasında uzun süredir devam eden ve yoğun siyasi tartışmayı yansıtan siyasi değerlendirmelerden kaynaklanmıştır. Kıbrıs Hükümeti tarafında, işbirliği yapma konusundaki isteksizliğe neden olan durumun </w:t>
      </w:r>
      <w:r w:rsidR="008B4471">
        <w:t>“KKTC”</w:t>
      </w:r>
      <w:r w:rsidR="00F25813">
        <w:t xml:space="preserve">ye meşruiyet tanımayı reddetme olduğu açıktır - bu da Dairenin reddettiği bir iddiadır. Daire bu hususta sözkonusu davada soruşturmanın sürdürülmesi için işbirliği yapmak üzere atılan adımların </w:t>
      </w:r>
      <w:r w:rsidR="008B4471">
        <w:t>“KKTC”</w:t>
      </w:r>
      <w:r w:rsidR="00F25813">
        <w:t>nin doğrudan ya da dolaylı şekilde tanınması anlamına geleceğini kabul etmediğine hükmetmiştir (bk. Daire kararının 291. paragrafı). Diğer yandan Daire Kıbrıs’ın tek meşru hükümeti olan Kıbrıs Hükümeti tarafından yapılan iade taleplerinin Türk Hükümeti tarafından görmezden gelinmesini dikkat çekici bulmuştur (bk. Daire kararının 292. paragrafı).</w:t>
      </w:r>
    </w:p>
    <w:p w:rsidR="00F25813"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200</w:t>
      </w:r>
      <w:r w:rsidRPr="007C6A77">
        <w:fldChar w:fldCharType="end"/>
      </w:r>
      <w:r w:rsidR="00F25813">
        <w:t xml:space="preserve">.  Daire doğrudan ya da </w:t>
      </w:r>
      <w:r w:rsidR="00E562AE">
        <w:t>BMBG</w:t>
      </w:r>
      <w:r w:rsidR="00F25813">
        <w:t xml:space="preserve"> yoluyla işbirliği yapmamanın, her iki davalı Devletin soruşturmalarının açık kalmasıyla ve sekiz yıldan daha uzun bir süredir hiçbir şey yapılmamasıyla sonuçlandığını gözlemlemiştir. Bu ayrıca şüphelilerin serbest bırakılmasına yol açmıştır. Davalı Devletlerin işbirliği yapmaması göz önüne alındığında, Daire 2. maddenin her iki Devlet tarafından da usul açısından ihlal edildiği sonucuna varmıştır.</w:t>
      </w:r>
    </w:p>
    <w:p w:rsidR="007C4171" w:rsidRDefault="007C4171" w:rsidP="00F25813">
      <w:pPr>
        <w:pStyle w:val="ECHRPara"/>
      </w:pPr>
    </w:p>
    <w:p w:rsidR="00F25813" w:rsidRPr="007C6A77" w:rsidRDefault="00F25813" w:rsidP="00F25813">
      <w:pPr>
        <w:pStyle w:val="ECHRHeading3"/>
      </w:pPr>
      <w:r>
        <w:t>2.  Büyük Daire Önünde Sunulan Görüşler</w:t>
      </w:r>
    </w:p>
    <w:p w:rsidR="00F25813" w:rsidRPr="007C6A77" w:rsidRDefault="00F25813" w:rsidP="00F25813">
      <w:pPr>
        <w:pStyle w:val="ECHRHeading4"/>
      </w:pPr>
      <w:r>
        <w:t>Başvuranlar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201</w:t>
      </w:r>
      <w:r w:rsidRPr="007C6A77">
        <w:fldChar w:fldCharType="end"/>
      </w:r>
      <w:r w:rsidR="00F25813">
        <w:t xml:space="preserve">.  Başvuranlar, yargı yetkisinin ötesinde bir cinayet durumunda, Sözleşme’nin 2. maddesinin usul yönünün yaşam hakkını güvenceye almakla sorumlu Akit Devletlerin kanıtı güvenceye almak için işbirliği yapmalarını ve birbirlerinin kanun yürütme birimleriyle ilişkilerinde insan hakları hukukuna uymalarını gerektirdiğini ileri sürmüşlerdir. Bu görev doğrudan, davalı Devletlerin her birinin, Sözleşme’nin 1. maddesiyle birlikte okunan 2. maddesi uyarınca “Sözleşme’nin hukuki </w:t>
      </w:r>
      <w:r w:rsidR="00543291">
        <w:t>alanı</w:t>
      </w:r>
      <w:r w:rsidR="00F25813">
        <w:t>” kapsamındaki yaşam hakkının usul yönünü güvenceye almak zorunda olması görevinden ileri gelmektedir. Sözleşme’nin 15 § 2.maddesi uyarınca, 2.maddeden herhangi bir derogasyona izin verilmediği için işbirliği yapma görevi ile ilgili derogasyona gidilememiştir. Başvuranlar, her iki Devletin de siyasi kaygıları kenara bırakarak pragmatik bir yaklaşım benimsemiş olmaları gerektiğini ileri sürmüşlerdir. Dairenin kararında belirtilen sebeplerden dolayı Devletlerin işbirliği yapma yükümlülüklerini yerine getiremediklerini düşünmektedirler.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202</w:t>
      </w:r>
      <w:r w:rsidRPr="007C6A77">
        <w:fldChar w:fldCharType="end"/>
      </w:r>
      <w:r w:rsidR="00F25813">
        <w:t xml:space="preserve">.  Kıbrıs'ın sorumluluğu hususunda, başvuranlar Mahkemenin defaatle insan haklarını korumak için kuzey Kıbrıs'taki </w:t>
      </w:r>
      <w:r w:rsidR="00F25813">
        <w:rPr>
          <w:i/>
        </w:rPr>
        <w:t xml:space="preserve">de facto </w:t>
      </w:r>
      <w:r w:rsidR="00F25813">
        <w:t xml:space="preserve">yönetimin hukuk sistemiyle ilgilenmesinin </w:t>
      </w:r>
      <w:r w:rsidR="008B4471">
        <w:t>“KKTC”</w:t>
      </w:r>
      <w:r w:rsidR="00F25813">
        <w:t xml:space="preserve">nin tanınması ve buna ilişkin bir ifade ya da ima anlamına gelmediği kararını verdiğini ileri sürmüşlerdir (yukarıda anılan </w:t>
      </w:r>
      <w:r w:rsidR="00F25813">
        <w:rPr>
          <w:i/>
        </w:rPr>
        <w:t>Kıbrıs</w:t>
      </w:r>
      <w:r w:rsidR="00A457E9">
        <w:rPr>
          <w:i/>
        </w:rPr>
        <w:t xml:space="preserve"> </w:t>
      </w:r>
      <w:r w:rsidR="00F25813">
        <w:rPr>
          <w:i/>
        </w:rPr>
        <w:t>/</w:t>
      </w:r>
      <w:r w:rsidR="00A457E9">
        <w:rPr>
          <w:i/>
        </w:rPr>
        <w:t xml:space="preserve"> </w:t>
      </w:r>
      <w:r w:rsidR="00F25813">
        <w:rPr>
          <w:i/>
        </w:rPr>
        <w:t>Türkiye</w:t>
      </w:r>
      <w:r w:rsidR="00F25813">
        <w:t>,§ 238’e dayanarak). Birleşik Krallık’ın</w:t>
      </w:r>
      <w:r w:rsidR="00EA609E">
        <w:t xml:space="preserve"> </w:t>
      </w:r>
      <w:r w:rsidR="008B4471">
        <w:t>“KKTC”</w:t>
      </w:r>
      <w:r w:rsidR="00F25813">
        <w:t>nin ceza adaleti sistemiyle işbirliğinde görüldüğü üzere tanınmamış bir oluşumun cezai yargılama usulüyle ilgilenilmesi de tanıma anlamına gelmemektedir. Her durumda, yaşam hakkı Sözleşme’nin 15 § 2.maddesi uyarınca Devletlerin tanımama durumu devam ediyor olsa dahi hiçbir şekilde derogasyona gidemeyeceği mutlak bir haktır. Başvuranların görüşüne göre, aynı zamanda Kıbrıs Cumhuriyeti’nin de vatandaşları olan Kıbrıs Türk toplumu üyelerinin insan haklarını korumak, tanımama görevini ihlal edemez, daha ziyade Sözleşme’nin 1. maddesi uyarınca bütün Kıbrıs topraklarında insan haklarını güvenceye almak amacıyla Kıbrıs’ın yargı yetkisini ortaya koymak için bir fırsat teşkil etmektedir. Uzlaşı için iyi niyet içerisinde işbirliği ve müzakere yapma görevinin gereğini yerine getirerek bunu başarabilirlerdi.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203</w:t>
      </w:r>
      <w:r w:rsidRPr="007C6A77">
        <w:fldChar w:fldCharType="end"/>
      </w:r>
      <w:r w:rsidR="00F25813">
        <w:t xml:space="preserve">.  Duruşmada başvuranlar, konu insan hakları olduğunda Mahkemenin içtihadında, tanımama yükümlülüğü ile ilgili olarak, insan hakları yükümlülüğü geçersiz kılacağı için, istisna yaptığını da eklemişlerdir (diğer kararların yanı sıra, yukarıda anılan </w:t>
      </w:r>
      <w:r w:rsidR="00F25813">
        <w:rPr>
          <w:i/>
        </w:rPr>
        <w:t>Kıbrıs / Türkiye,</w:t>
      </w:r>
      <w:r w:rsidR="00F25813">
        <w:t xml:space="preserve"> § 90-101). Bu istisna, sözkonusu hak yaşam hakkı olduğunda daha güçlü bir şekilde uygulanmalıdır. </w:t>
      </w:r>
      <w:r w:rsidR="008B4471">
        <w:t>“KKTC”</w:t>
      </w:r>
      <w:r w:rsidR="00F25813">
        <w:t xml:space="preserve">nin şüphelileri tutuklamak amacıyla </w:t>
      </w:r>
      <w:r w:rsidR="00F25813">
        <w:rPr>
          <w:i/>
        </w:rPr>
        <w:t>de facto</w:t>
      </w:r>
      <w:r w:rsidR="00F25813">
        <w:t xml:space="preserve"> polisine Kıbrıs polisi tarafından kanıtların teslim edilmesi egemenlikten veya yargı yetkisinden vazgeçmeyi mümkün kılan bir eylem değildi. Başvuranlar, duruşmanın </w:t>
      </w:r>
      <w:r w:rsidR="008B4471">
        <w:t>“KKTC”</w:t>
      </w:r>
      <w:r w:rsidR="00F25813">
        <w:t>de görülmesi için kanıtın teslim edilmesi gerektiğini hiçbir zaman ileri sürmediklerini belirtmişlerdir.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204</w:t>
      </w:r>
      <w:r w:rsidRPr="007C6A77">
        <w:fldChar w:fldCharType="end"/>
      </w:r>
      <w:r w:rsidR="00F25813">
        <w:t xml:space="preserve">.  Türkiye’nin sorumluluğu bakımından, başvuranlar kuzey Kıbrıs’ın etkin kontrolünü yürüttüğü için Türkiye’nin Sözleşmenin 1.maddesi uyarınca yargı yetkisini üstüne aldığını iddia etmişlerdir. Ayrıca, </w:t>
      </w:r>
      <w:r w:rsidR="00C511A5">
        <w:t xml:space="preserve">savaş sonu işgalci durumunda olan </w:t>
      </w:r>
      <w:r w:rsidR="00F25813">
        <w:t xml:space="preserve">bir Devlet olarak Türkiye, tamamıyla engellenmediği sürece ülkedeki yürürlükte bulunan yasalara saygı göstererek, mümkün olduğu ölçüde kamu düzeni ve güvenliğini sağlamak için tüm bu tedbirleri almak zorundaydı (IV sayılı Kara Harbinin Kanunları ve Adetleri Hakkında Sözleşmeye eklenmiş 1907 Lahey Düzenlemelerinin 43. maddesine atıfta bulunulmuştur). Bu nedenle Türkiye, Kıbrıs Cumhuriyeti’nin etkin kontrolü altındaki topraklardan kaçan cinayet şüphelilerinin cezasız kalmasını önlemek amacıyla sınır ötesi vakalarda insan haklarını güvenceye almak için meşru Kıbrıs Cumhuriyeti ile işbirliği yapma mecburiyetindeydi. Kıbrıs’tan gelen suçluların iadesi taleplerini reddederek, Türkiye asgari işbirliğinde bulunmakta muvaffak olamamıştır. Üstelik duruşmanın </w:t>
      </w:r>
      <w:r w:rsidR="008B4471">
        <w:t>“KKTC”</w:t>
      </w:r>
      <w:r w:rsidR="00F25813">
        <w:t xml:space="preserve">de görülmesinde ısrarcı olmaları göz önünde bulundurulduğunda, </w:t>
      </w:r>
      <w:r w:rsidR="008B4471">
        <w:t>“KKTC”</w:t>
      </w:r>
      <w:r w:rsidR="00F25813">
        <w:t xml:space="preserve"> makamları uzlaşmayı reddetmiştir. En azından, iyi niyet çerçevesinde, </w:t>
      </w:r>
      <w:r w:rsidR="008B4471">
        <w:t>“KKTC”</w:t>
      </w:r>
      <w:r w:rsidR="00F25813">
        <w:t xml:space="preserve"> dışında, belki BM tampon bölgesinde</w:t>
      </w:r>
      <w:r w:rsidR="00F25813">
        <w:rPr>
          <w:rStyle w:val="DipnotBavurusu"/>
        </w:rPr>
        <w:t xml:space="preserve"> </w:t>
      </w:r>
      <w:r w:rsidR="00F25813">
        <w:t xml:space="preserve">emekli Kıbrıslı Türk </w:t>
      </w:r>
      <w:r w:rsidR="003B2DBC">
        <w:t>hâkimlerce</w:t>
      </w:r>
      <w:r w:rsidR="00F25813">
        <w:t xml:space="preserve"> yargılanmak üzere şüphelilerin teslim edilmesini müzakere etmeye hazır olmaları gerekirdi. Böyle esnek ve pragmatik bir duruş sergilemiş olsalardı, bu tanıma meselelerinin etkisini azaltmış ve Kıbrıs'tan kanıtın daha kolay elde edilmesini güvenceye almada uzlaşma sağlamış olurlardı.</w:t>
      </w:r>
    </w:p>
    <w:p w:rsidR="00F25813" w:rsidRPr="007C6A77" w:rsidRDefault="00F25813" w:rsidP="00F25813">
      <w:pPr>
        <w:pStyle w:val="ECHRHeading4"/>
      </w:pPr>
      <w:r>
        <w:t>Kıbrıs Hükümeti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205</w:t>
      </w:r>
      <w:r w:rsidRPr="007C6A77">
        <w:fldChar w:fldCharType="end"/>
      </w:r>
      <w:r w:rsidR="00F25813">
        <w:t xml:space="preserve">.  Hukuka aykırı bir işgal durumuyla ilgili olağan dışı olaylar göz önüne alındığında, Kıbrıs Hükümeti, 2. madde uyarınca başvuranların haklarını güvenceye almak için kendilerinden makul olarak beklenebilecek tüm adımları atmış olduğunu ileri sürmüştür. Sözkonusu makamlar, cinayeti işlediği iddia edilen failleri teşhis eden etkin bir soruşturma yürüterek (bk. Daire Kararının 265-266. ve 281.paragrafları) 2.maddedeki yükümlülüklerini yerine getirmiştir ve başvuranlar bu soruşturmaya </w:t>
      </w:r>
      <w:r w:rsidR="007F3C38">
        <w:t>dâhil</w:t>
      </w:r>
      <w:r w:rsidR="00F25813">
        <w:t xml:space="preserve"> edilmiştir. Kimseye </w:t>
      </w:r>
      <w:r w:rsidR="00C511A5">
        <w:t xml:space="preserve">herhangi bir ceza mahkumiyeti getirmemiş </w:t>
      </w:r>
      <w:r w:rsidR="00F25813">
        <w:t xml:space="preserve">olması soruşturmanın yeterliliğine gölge düşürmemektedir zira 2.maddede öngörülen usul yükümlülüğü sonuç değil yöntem bakımındandır. Bu usul yükümlülüğü yalnızca, Devletlerin koşullar içerisinde tüm makul adımları atmasını gerektirmektedir. Kıbrıs şüphelilere erişimi güvenceye almak için mümkün tüm adımları makul bir şekilde atmıştır; ancak Türkiye ve </w:t>
      </w:r>
      <w:r w:rsidR="008B4471">
        <w:t>“KKTC”</w:t>
      </w:r>
      <w:r w:rsidR="00F25813">
        <w:t>nin talepleri konusunda işbirliğini reddetmesi yetki alanının dışındadır.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206</w:t>
      </w:r>
      <w:r w:rsidRPr="007C6A77">
        <w:fldChar w:fldCharType="end"/>
      </w:r>
      <w:r w:rsidR="00F25813">
        <w:t>.  İşbirliği yükümlülüğü hususunda, Kıbrıs Hükümeti</w:t>
      </w:r>
      <w:r w:rsidR="00F25813">
        <w:rPr>
          <w:i/>
        </w:rPr>
        <w:t xml:space="preserve"> O’Loughlin</w:t>
      </w:r>
      <w:r w:rsidR="00F25813">
        <w:t xml:space="preserve"> kararının(yukarıda anılan) işbirliği amaçlı genel bir görev için bir otorite oluşturmadığını ileri sürmüştür. Bu kararda yorumlanan 2. </w:t>
      </w:r>
      <w:r w:rsidR="003B2DBC">
        <w:t>madde cinayetlerin</w:t>
      </w:r>
      <w:r w:rsidR="00F25813">
        <w:t xml:space="preserve"> vuku bulduğu yer olarak yargı yetkisine sahip olan Kıbrıs üzerine herhangi bir yükümlülük getirmemektedir. Ancak, iddia edilen cinayeti işlediği iddia edilen faillerin kaçtığı Devletlere, mevcut davada Türkiye’ye, </w:t>
      </w:r>
      <w:r w:rsidR="008B4471">
        <w:t>“KKTC”</w:t>
      </w:r>
      <w:r w:rsidR="00F25813">
        <w:t xml:space="preserve"> topraklarının kontrolüne sahip olmasından dolayı işbirliği yükümlülüğü getirmektedir. Mahkeme 2. maddenin ölümcül bir saldırının vuku bulduğu Devlete başka bir Devletle işbirliği yapması gerektirdiğini değerlendirmiş olsaydı bile Kıbrıs, kendisinden makul olarak yapması beklenen her şeyi Türkiye’ye suçluların iadesi talebinde bulunarak yapmıştır. Hatta bunun ötesine geçerek, teslimiyeti veya iadesi talep edilen şüphelilerin kanıtla desteklendiğini ispat etmek için </w:t>
      </w:r>
      <w:r w:rsidR="00E562AE">
        <w:t>BMBG</w:t>
      </w:r>
      <w:r w:rsidR="00F25813">
        <w:t>’</w:t>
      </w:r>
      <w:r w:rsidR="00E562AE">
        <w:t>n</w:t>
      </w:r>
      <w:r w:rsidR="00F25813">
        <w:t>in bağımsız değerlendirmesi için kanıt sağlamayı önermiştir.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207</w:t>
      </w:r>
      <w:r w:rsidRPr="007C6A77">
        <w:fldChar w:fldCharType="end"/>
      </w:r>
      <w:r w:rsidR="00F25813">
        <w:t xml:space="preserve">.  İlaveten, 2.madde uyarınca Kıbrıs’ın üzerine düşen herhangi bir işbirliği yükümlülüğünün boyutu bu olay bağlamında makul olan ve ilgili uygulanabilir uluslararası hukuk kuralları göz önünde bulundurularak değerlendirilmelidir. İlk olarak, 2.madde uyarınca Kıbrıs’ın kanıtını </w:t>
      </w:r>
      <w:r w:rsidR="008B4471">
        <w:t>“KKTC”</w:t>
      </w:r>
      <w:r w:rsidR="00F25813">
        <w:t>ye teslim etme şartı, Uluslararası Hukuk Komisyonunun (UHK) 2001 tarihli “Uluslararası Haksız Eylemlerden Dolayı Devletlerin Uluslararası Sorumluluğu”ile ilgili Maddelerinde (42.1 madde) düzenlendiği ve Uluslararası Adalet Divanı tarafından onaylandığı üzere (Namibya’yla ilgili istişari görüşe atıfta bulunulmuştur</w:t>
      </w:r>
      <w:r w:rsidR="00F25813">
        <w:rPr>
          <w:rStyle w:val="DipnotBavurusu"/>
        </w:rPr>
        <w:footnoteReference w:id="2"/>
      </w:r>
      <w:r w:rsidR="00F25813">
        <w:t xml:space="preserve">), uluslararası teamül hukukunun tanımama yükümlülüğünü ihlal ederdi. Kuzey Kıbrıs’taki durum toprakların hukuka aykırı olarak sözde edinimi olduğundan, ele geçirilen toprakların dışında işlenen bir suç için </w:t>
      </w:r>
      <w:r w:rsidR="008B4471">
        <w:t>“KKTC”</w:t>
      </w:r>
      <w:r w:rsidR="00F25813">
        <w:t xml:space="preserve"> lehine cezai yargı yetkisinden vazgeçmek </w:t>
      </w:r>
      <w:r w:rsidR="008B4471">
        <w:t>“KKTC”</w:t>
      </w:r>
      <w:r w:rsidR="00F25813">
        <w:t xml:space="preserve">nin iddiasını ve topraklar üzerindeki kontrolünü pekiştirme amacına hizmet ederdi. Ayrıca bu, işgal edilen topraklarda Sözleşme’nin ihlallerinden ötürü Türkiye’nin sorumlu tutulduğu veya Türkiye’nin kendisine isnat edilebilir yanlışları düzeltmesine izin verildiği ölçüde, </w:t>
      </w:r>
      <w:r w:rsidR="008B4471">
        <w:t>“KKTC”</w:t>
      </w:r>
      <w:r w:rsidR="00F25813">
        <w:t xml:space="preserve">nin idari eylemlerinin “tanınmasından” farklı bir durumdu (24 Haziran 2008 tarihli </w:t>
      </w:r>
      <w:r w:rsidR="00F25813">
        <w:rPr>
          <w:i/>
        </w:rPr>
        <w:t xml:space="preserve">Foka </w:t>
      </w:r>
      <w:r w:rsidR="00982DB9">
        <w:rPr>
          <w:i/>
        </w:rPr>
        <w:t>/</w:t>
      </w:r>
      <w:r w:rsidR="00F25813">
        <w:rPr>
          <w:i/>
        </w:rPr>
        <w:t xml:space="preserve"> Türkiy</w:t>
      </w:r>
      <w:r w:rsidR="00F25813">
        <w:t xml:space="preserve">e </w:t>
      </w:r>
      <w:r w:rsidR="00964336">
        <w:t>No.</w:t>
      </w:r>
      <w:r w:rsidR="00F25813">
        <w:t xml:space="preserve"> 28940/95, §§ 83-84 ve yukarıda anılan </w:t>
      </w:r>
      <w:r w:rsidR="00F25813">
        <w:rPr>
          <w:i/>
        </w:rPr>
        <w:t>Demopoulos ve Diğerle</w:t>
      </w:r>
      <w:r w:rsidR="00F25813">
        <w:t>r</w:t>
      </w:r>
      <w:r w:rsidR="00F25813">
        <w:rPr>
          <w:i/>
        </w:rPr>
        <w:t>i</w:t>
      </w:r>
      <w:r w:rsidR="00F25813">
        <w:t>’ne atıfta bulunulmuştur). Salt Birleşik Krallı</w:t>
      </w:r>
      <w:r w:rsidR="0056257B">
        <w:t xml:space="preserve">ğın </w:t>
      </w:r>
      <w:r w:rsidR="008B4471">
        <w:t>“KKTC”</w:t>
      </w:r>
      <w:r w:rsidR="00F25813">
        <w:t xml:space="preserve"> ile işbirliği yaptığı gerçeği bu işbirliğini kendi başına meşru kılmaz; işgal edilmiş bir Devletten makul surette beklenecek şey, üçüncü bir taraf Devletten makul surette beklenecek olandan kaçınılmaz olarak farklıdır. İkinci olarak, 2.madde yargı yetkisi için en güçlü hak </w:t>
      </w:r>
      <w:r w:rsidR="00A5482F">
        <w:t>iddiasına</w:t>
      </w:r>
      <w:r w:rsidR="00F25813">
        <w:t xml:space="preserve"> sahip olan Kıbrıs’ın (cinayet Kıbrıs’ın kontrolü altındaki topraklarda ve Kıbrıs uyruklulara karşı işlendiğinden) Sözleşme’ye taraf olmayan bir Devlet ve 2.maddenin yükümlülüklerini yerine getirmekte yetersiz kalan </w:t>
      </w:r>
      <w:r w:rsidR="008B4471">
        <w:t>“KKTC”</w:t>
      </w:r>
      <w:r w:rsidR="00F25813">
        <w:t xml:space="preserve">ye kanıt vermesini gerektirmez. Dahası, </w:t>
      </w:r>
      <w:r w:rsidR="008B4471">
        <w:t>“KKTC”</w:t>
      </w:r>
      <w:r w:rsidR="00F25813">
        <w:t xml:space="preserve">ye kanıt </w:t>
      </w:r>
      <w:r w:rsidR="0056257B">
        <w:t xml:space="preserve">verme </w:t>
      </w:r>
      <w:r w:rsidR="00F25813">
        <w:t xml:space="preserve">koşulu, şüphelilerin hukuka aykırı “mahkemelerce” yargılanması ve o zamanda hukuksuz bir şekilde tutuklanmalarıyla sonuçlanırdı (21 Mart 2017 tarihli, 52142/12 </w:t>
      </w:r>
      <w:r w:rsidR="00964336">
        <w:t>No.</w:t>
      </w:r>
      <w:r w:rsidR="00F25813">
        <w:t xml:space="preserve">’lu </w:t>
      </w:r>
      <w:r w:rsidR="00F25813">
        <w:rPr>
          <w:i/>
        </w:rPr>
        <w:t>Mitrovic</w:t>
      </w:r>
      <w:r w:rsidR="009A1E38">
        <w:rPr>
          <w:i/>
        </w:rPr>
        <w:t xml:space="preserve"> </w:t>
      </w:r>
      <w:r w:rsidR="00F25813">
        <w:rPr>
          <w:i/>
        </w:rPr>
        <w:t>/</w:t>
      </w:r>
      <w:r w:rsidR="009A1E38">
        <w:rPr>
          <w:i/>
        </w:rPr>
        <w:t xml:space="preserve"> </w:t>
      </w:r>
      <w:r w:rsidR="00F25813">
        <w:rPr>
          <w:i/>
        </w:rPr>
        <w:t>Sırbistan</w:t>
      </w:r>
      <w:r w:rsidR="00F25813">
        <w:t>’a dayanarak). Kanıt koşulunun Sözleşme’nin ihlaliyle sonuçlanacağının makul surette öngörülebildiği durumlarda 2.madde uyarınca kanıt sağlama görevi bulunamaz.</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208</w:t>
      </w:r>
      <w:r w:rsidRPr="007C6A77">
        <w:fldChar w:fldCharType="end"/>
      </w:r>
      <w:r w:rsidR="00F25813">
        <w:t xml:space="preserve">.  Mahkeme önündeki duruşmada Kıbrıs Hükümeti tanımamaya ilişkin kuralların amaçlarının Sözleşme’nin amaçlarından daha önemsiz olmadığını ileri sürmüştür. Hem teamül hukuk hem de UHC Maddelerinde tanımamanın işlevi, Devletin zor kullanarak saldırı, işgal ve edinimlerine karşı üstün hukukun ihlalinin cezalandırılması ve dolayısıyla bu durumların getireceği ölüm ve yıkımları önlemektir. Ayrıca, Sözleşme uyarınca bireysel başvuranların </w:t>
      </w:r>
      <w:r w:rsidR="008B4471">
        <w:t>“KKTC”</w:t>
      </w:r>
      <w:r w:rsidR="00F25813">
        <w:t xml:space="preserve"> içerisinde sunulan iç hukuk yollarıyla uğraşabileceği şartından (yukarıda anılan </w:t>
      </w:r>
      <w:r w:rsidR="00F25813">
        <w:rPr>
          <w:i/>
        </w:rPr>
        <w:t>Demop</w:t>
      </w:r>
      <w:r w:rsidR="006515E8">
        <w:rPr>
          <w:i/>
        </w:rPr>
        <w:t>o</w:t>
      </w:r>
      <w:r w:rsidR="00F25813">
        <w:rPr>
          <w:i/>
        </w:rPr>
        <w:t>ulos ve Diğerleri</w:t>
      </w:r>
      <w:r w:rsidR="00F25813">
        <w:t>’ne atıfta bulunarak) Kıbrıs Cumhuriyeti’nin buna benzer bir yükümlülük altında bulunduğu çıkarımında bulunmak yanlıştır. Tanımama kuralına tabi olan bireyler değil Devletlerdi.</w:t>
      </w:r>
    </w:p>
    <w:p w:rsidR="00F25813" w:rsidRPr="007C6A77" w:rsidRDefault="00BB2D2A" w:rsidP="00F25813">
      <w:pPr>
        <w:pStyle w:val="ECHRPara"/>
        <w:tabs>
          <w:tab w:val="left" w:pos="5529"/>
        </w:tabs>
      </w:pPr>
      <w:r w:rsidRPr="007C6A77">
        <w:fldChar w:fldCharType="begin"/>
      </w:r>
      <w:r w:rsidR="00F25813" w:rsidRPr="007C6A77">
        <w:instrText xml:space="preserve"> SEQ level0 \*arabic </w:instrText>
      </w:r>
      <w:r w:rsidRPr="007C6A77">
        <w:fldChar w:fldCharType="separate"/>
      </w:r>
      <w:r w:rsidR="00332D11">
        <w:rPr>
          <w:noProof/>
        </w:rPr>
        <w:t>209</w:t>
      </w:r>
      <w:r w:rsidRPr="007C6A77">
        <w:fldChar w:fldCharType="end"/>
      </w:r>
      <w:r w:rsidR="00F25813">
        <w:t xml:space="preserve">.  Türkiye hususunda, Kıbrıs Hükümeti Türkiye’nin şüphelileri iade veya teslim etmeyerek 2.maddeyi ihlal ettiğini ileri sürmüştür. Duruşmada, 2.madde uyarınca usul yükümlülüğünün Türkiye hükümetinin iddialarının tersine (bk. aşağıdaki 211. paragraf) mevcut antlaşma yükümlülüklerinin ötesinde </w:t>
      </w:r>
      <w:r w:rsidR="00F25813">
        <w:rPr>
          <w:i/>
        </w:rPr>
        <w:t>ad hoc</w:t>
      </w:r>
      <w:r w:rsidR="00F25813">
        <w:t xml:space="preserve"> işbirliği gerektirdiği şeklinde okunabileceğini ilave etmiştir.</w:t>
      </w:r>
    </w:p>
    <w:p w:rsidR="00F25813" w:rsidRPr="007C6A77" w:rsidRDefault="00F25813" w:rsidP="00F25813">
      <w:pPr>
        <w:pStyle w:val="ECHRHeading4"/>
      </w:pPr>
      <w:r>
        <w:t>Türk Hükümeti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210</w:t>
      </w:r>
      <w:r w:rsidRPr="007C6A77">
        <w:fldChar w:fldCharType="end"/>
      </w:r>
      <w:r w:rsidR="00F25813">
        <w:t xml:space="preserve">.  Türk Hükümeti, Türkiye ve </w:t>
      </w:r>
      <w:r w:rsidR="008B4471">
        <w:t>“KKTC”</w:t>
      </w:r>
      <w:r w:rsidR="00F25813">
        <w:t xml:space="preserve"> makamlarının başından beri şüpheliler hakkında kovuşturma yapmaya istekli olduğunu ileri sürmüştür. </w:t>
      </w:r>
      <w:r w:rsidR="008B4471">
        <w:t>“KKTC”</w:t>
      </w:r>
      <w:r w:rsidR="00F25813">
        <w:t xml:space="preserve"> cinayetlere ilişkin geniş kapsamlı bir soruşturma yürütmüştür ve tüm şüpheliler tutuklanarak Kıbrıs makamlarının kendilerini suçla ilişkilendiren herhangi bir kanıt sunmamasında</w:t>
      </w:r>
      <w:r w:rsidR="00D82548">
        <w:t>n</w:t>
      </w:r>
      <w:r w:rsidR="00F25813">
        <w:t xml:space="preserve"> ötürü iç hukuk uyarınca serbest bırakılmak zorunda kalana kadar tutuklulukları devam etmiştir. Bu adımlar Dairenin soruşturmanın kendisinde bir problem olmadığı sonucuna varmasına sebep olmuştur. Türkiye, beşinci şüphelinin Türkiye’ye dönmesinin ardından Kıbrıs makamlarının tutuklama ve soruşturma talebine cevap vermiştir. </w:t>
      </w:r>
      <w:r w:rsidR="008B4471">
        <w:t>“KKTC”</w:t>
      </w:r>
      <w:r w:rsidR="00F25813">
        <w:t xml:space="preserve"> makamları cinayetlere ilişkin bilgi değişimi sağlama amaçlı çabalarına ilişkin olarak </w:t>
      </w:r>
      <w:r w:rsidR="00E562AE">
        <w:t>BMBG</w:t>
      </w:r>
      <w:r w:rsidR="00F25813">
        <w:t xml:space="preserve"> ile sayısız toplantı düzenlemiştir. Gerek Türkiye gerekse </w:t>
      </w:r>
      <w:r w:rsidR="008B4471">
        <w:t>“KKTC”</w:t>
      </w:r>
      <w:r w:rsidR="00F25813">
        <w:t xml:space="preserve"> makamları kendi iç hukuklarına göre,</w:t>
      </w:r>
      <w:r w:rsidR="00275888">
        <w:t xml:space="preserve"> </w:t>
      </w:r>
      <w:r w:rsidR="00F25813">
        <w:t>kendi uyruğundakileri iade edemediğini belirtmiştir.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211</w:t>
      </w:r>
      <w:r w:rsidRPr="007C6A77">
        <w:fldChar w:fldCharType="end"/>
      </w:r>
      <w:r w:rsidR="00F25813">
        <w:t xml:space="preserve">.  Bir Devletin yargı yetkisi dışında yürütülen cezai soruşturmalarla işbirliği yapma konusundaki usul yükümlülüğü göz önüne alındığında, Türk Hükümeti, Devletin ceza işlerinde adli yardım konusundaki mevcut uluslararası kanuni hakları ve yükümlülükleri referans alınarak buna karar verilmesi gerektiğini ileri sürmüştür. Devlet, hukuki olarak mümkün veya hukuki olarak erişilebilir adımlar atmalıdır. Tüm sınır ötesi davalarda, Mahkeme ceza ileri ile ilgili karşılıklı yardıma izin vermeye ilişkin Devletler üzerinde bağlayıcılığı bulunan mevcut belgelere açıkça atıfta bulunmuştur (yukarıda anılan </w:t>
      </w:r>
      <w:r w:rsidR="00F25813">
        <w:rPr>
          <w:i/>
        </w:rPr>
        <w:t>Rantsev</w:t>
      </w:r>
      <w:r w:rsidR="00F25813">
        <w:t xml:space="preserve">, 241 ve </w:t>
      </w:r>
      <w:r w:rsidR="00F25813">
        <w:rPr>
          <w:i/>
        </w:rPr>
        <w:t>Hüseynova v. Azerbaycan</w:t>
      </w:r>
      <w:r w:rsidR="00F25813">
        <w:t xml:space="preserve">, </w:t>
      </w:r>
      <w:r w:rsidR="00964336">
        <w:t>No.</w:t>
      </w:r>
      <w:r w:rsidR="00F25813">
        <w:t xml:space="preserve"> 10653/10, § 111, 13 Nisan 2017 tarihli davalara atıfta bulunulmuştur). Bu cihetle 2.maddenin usul bakımından işbirliği yükümlülüğünün, bir Devletin iyi niyet içerisinde, uluslararası genel hukuk uyarınca veya ceza işlerinde karşılıklı adli yardıma ilişkin uluslararası veya uluslarüstü uygulanabilir belgeler uyarınca tüm </w:t>
      </w:r>
      <w:r w:rsidR="00275888">
        <w:t>imkânları</w:t>
      </w:r>
      <w:r w:rsidR="00F25813">
        <w:t xml:space="preserve"> tüketmiş olması gerekmektedir. Mahkeme, bir Devletin bu tür anlaşmalar uyarınca yükümlülüklerine uyup uymadığını değerlendirme hususunda yetkin değildir, öte yandan burada belirtilen </w:t>
      </w:r>
      <w:r w:rsidR="00275888">
        <w:t>imkânların</w:t>
      </w:r>
      <w:r w:rsidR="00F25813">
        <w:t xml:space="preserve"> Devlet tarafından tüketilip tüketilmediğini doğrulaması gerekmektedir.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212</w:t>
      </w:r>
      <w:r w:rsidRPr="007C6A77">
        <w:fldChar w:fldCharType="end"/>
      </w:r>
      <w:r w:rsidR="00F25813">
        <w:t xml:space="preserve">.  Başvuranların </w:t>
      </w:r>
      <w:r w:rsidR="00275888">
        <w:t>şikâyetlerinin</w:t>
      </w:r>
      <w:r w:rsidR="00F25813">
        <w:t xml:space="preserve"> Türkiye ile ilgili olarak yer bakımından (</w:t>
      </w:r>
      <w:r w:rsidR="00F25813">
        <w:rPr>
          <w:i/>
        </w:rPr>
        <w:t>ratione loci</w:t>
      </w:r>
      <w:r w:rsidR="00F25813">
        <w:t>) uygun olduğunu varsaysak dahi, Türkiye Hükümeti, Türkiye’nin kendi mevcut uluslararası hukuki yükümlülükleri uyarınca şüphelileri iade etmesinin veya teslim etmesinin gerekmediği görüşünü sürdürmüştür. Suçluların İadesi Sözleşmesi yalnızca Türkiye’nin “</w:t>
      </w:r>
      <w:r w:rsidR="00D82548">
        <w:t>kendi</w:t>
      </w:r>
      <w:r w:rsidR="00F25813">
        <w:t xml:space="preserve"> topraklarını” </w:t>
      </w:r>
      <w:r w:rsidR="00275888">
        <w:t>kapsamaktadır ve</w:t>
      </w:r>
      <w:r w:rsidR="00F25813">
        <w:t xml:space="preserve"> </w:t>
      </w:r>
      <w:r w:rsidR="008B4471">
        <w:t>“KKTC”</w:t>
      </w:r>
      <w:r w:rsidR="00F25813">
        <w:t xml:space="preserve"> bu kapsamın dışındadır. Sözleşme, bu nedenle, yalnızca Türkiye’de bulunan beşinci şüpheliye uygulanabilmiştir. Taleplerin “diplomatik kanallarla” aktarılmasını gerektiren Sözleşme uyarınca geçerli bir iade talebinde bulunulmamıştır (Suçluların İadesi Sözleşmesi’nin 12.</w:t>
      </w:r>
      <w:r w:rsidR="00AA065B">
        <w:t xml:space="preserve"> </w:t>
      </w:r>
      <w:r w:rsidR="00F25813">
        <w:t xml:space="preserve">maddesi). Mahkeme huzurunda Kıbrıs makamlarının tüm iddiası Atina’daki Kıbrıs büyükelçiliğinin bir görevlisinin Atina’daki Türk Büyükelçiliğindeki güvenlik görevlisine bir zarf teslim ettiği yönündedir. Ancak, duruşmada Türk Hükümeti Türkiye ve Kıbrıs arasında diplomatik ilişkiler mevcut olmadığından Kıbrıs için olağan diplomatik kanalın erişilebilir olmadığını kabul etmiştir. </w:t>
      </w:r>
      <w:r w:rsidR="005B61EA" w:rsidRPr="005B61EA">
        <w:t xml:space="preserve">Ayrıca, </w:t>
      </w:r>
      <w:r w:rsidR="005B61EA">
        <w:t>a</w:t>
      </w:r>
      <w:r w:rsidR="005B61EA" w:rsidRPr="005B61EA">
        <w:t xml:space="preserve">ntlaşma üyeliğinin Türkiye ile Kıbrıs arasında herhangi bir yasal zorunluluk yaratmayacağına dair </w:t>
      </w:r>
      <w:r w:rsidR="005B61EA">
        <w:t>Türkiye’nin muhtelif</w:t>
      </w:r>
      <w:r w:rsidR="005B61EA" w:rsidRPr="005B61EA">
        <w:t xml:space="preserve"> Avrupa Konseyi an</w:t>
      </w:r>
      <w:r w:rsidR="005B61EA">
        <w:t>t</w:t>
      </w:r>
      <w:r w:rsidR="005B61EA" w:rsidRPr="005B61EA">
        <w:t>laşma</w:t>
      </w:r>
      <w:r w:rsidR="005B61EA">
        <w:t>larına</w:t>
      </w:r>
      <w:r w:rsidR="005B61EA" w:rsidRPr="005B61EA">
        <w:t xml:space="preserve"> </w:t>
      </w:r>
      <w:r w:rsidR="005B61EA">
        <w:t>beyan</w:t>
      </w:r>
      <w:r w:rsidR="00E4591A">
        <w:t>at</w:t>
      </w:r>
      <w:r w:rsidR="005B61EA" w:rsidRPr="005B61EA">
        <w:t xml:space="preserve"> </w:t>
      </w:r>
      <w:r w:rsidR="00E4591A">
        <w:t>eklemiş</w:t>
      </w:r>
      <w:r w:rsidR="005B61EA" w:rsidRPr="005B61EA">
        <w:t xml:space="preserve"> olduğuna da değin</w:t>
      </w:r>
      <w:r w:rsidR="005B61EA">
        <w:t>miş</w:t>
      </w:r>
      <w:r w:rsidR="003C31C7">
        <w:t>tir</w:t>
      </w:r>
      <w:r w:rsidR="005B61EA" w:rsidRPr="005B61EA">
        <w:t>.</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213</w:t>
      </w:r>
      <w:r w:rsidRPr="007C6A77">
        <w:fldChar w:fldCharType="end"/>
      </w:r>
      <w:r w:rsidR="00F25813">
        <w:t xml:space="preserve">.  Her durumda, Suçluların İadesi Sözleşmesi’nin 6(1)(a)  maddesi uyarınca, Türkiye beşinci şüphelinin Türk uyruğunda bulunmasından dolayı iadeyi reddetme hakkına sahiptir. Hiçbir uluslararası teamül hukuku yükümlülüğü uyarınca da Türkiye, Türkiye’de veya kuzey Kıbrıs’ta bulunan kişileri iade etmek zorunda değildir. Gerek Türkiye hukuku gerekse “KKTC hukuku kendi vatandaşlarını iadeyi yasaklamıştır. İlaveten, Dairenin “tarafsız bir </w:t>
      </w:r>
      <w:r w:rsidR="00275888">
        <w:t>mekânda</w:t>
      </w:r>
      <w:r w:rsidR="00F25813">
        <w:t xml:space="preserve"> </w:t>
      </w:r>
      <w:r w:rsidR="00F25813">
        <w:rPr>
          <w:i/>
        </w:rPr>
        <w:t xml:space="preserve">ad hoc </w:t>
      </w:r>
      <w:r w:rsidR="00F25813">
        <w:t xml:space="preserve">düzenleme veya duruşma” önerisi yalnızca Türkiye Anayasası ve </w:t>
      </w:r>
      <w:r w:rsidR="008B4471">
        <w:t>“KKTC”</w:t>
      </w:r>
      <w:r w:rsidR="00F25813">
        <w:t xml:space="preserve"> Anayasasına değil, aynı zamanda “kanunla tesis edilmiş bir mahkeme” tarafından adil yargılamayı garanti altına alan Sözleşme’nin 6.maddesine de ters düşmektedir. Türkiye hukukuna veya </w:t>
      </w:r>
      <w:r w:rsidR="008B4471">
        <w:t>“KKTC”</w:t>
      </w:r>
      <w:r w:rsidR="00F25813">
        <w:t xml:space="preserve"> hukukuna göre kişileri tutuklama ve BM tampon bölgesine nakletme veya kişileri yabancı bir Devletin makamları tarafından sorgulanmaya zorlamaya yönelik hiçbir hukuki temel bulunmamaktadır.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214</w:t>
      </w:r>
      <w:r w:rsidRPr="007C6A77">
        <w:fldChar w:fldCharType="end"/>
      </w:r>
      <w:r w:rsidR="00F25813">
        <w:t xml:space="preserve">.  Son olarak, Türk Hükümeti, Kıbrıs makamlarının Karşılıklı Yardım Sözleşmesi uyarınca mevcut hak ve yükümlülükler çerçevesinde soruşturma kanıtlarını Türkiye’ye sunma </w:t>
      </w:r>
      <w:r w:rsidR="00275888">
        <w:t>imkânına</w:t>
      </w:r>
      <w:r w:rsidR="00F25813">
        <w:t xml:space="preserve"> sahip olduklarını ileri sürmüştür. Ayrıca, Kıbrıs polisi uluslararası teamül hukuku uyarınca hiçbir yükümlülüğü ihlal etmeksizin </w:t>
      </w:r>
      <w:r w:rsidR="008B4471">
        <w:t>“KKTC”</w:t>
      </w:r>
      <w:r w:rsidR="00F25813">
        <w:t xml:space="preserve"> polis yetkililerine kanıt sağlayabilirdi. Devlet teamülleri göstermiştir ki diğer Devletler ceza işlerinde </w:t>
      </w:r>
      <w:r w:rsidR="008B4471">
        <w:t>“KKTC”</w:t>
      </w:r>
      <w:r w:rsidR="00F25813">
        <w:t xml:space="preserve"> ile işbirliğinde bulunmuştur ve bu işbirliği </w:t>
      </w:r>
      <w:r w:rsidR="008B4471">
        <w:t>“KKTC”</w:t>
      </w:r>
      <w:r w:rsidR="00F25813">
        <w:t>nin bir Devlet olarak tanınmasının iması şeklinde değerlendirilmemiştir. İngiltere ve Galler Yüksek Mahkemesinin “Kuzey Kıbrıs” makamlarıyla polisler arası işbirliğinin tanıma iması anlamına geleceği iddiasını reddettiği yakın zamandaki bir davaya atıfta bulunmuştur (</w:t>
      </w:r>
      <w:r w:rsidR="00F25813">
        <w:rPr>
          <w:i/>
        </w:rPr>
        <w:t>R. (Akarcay başvurusundaki) v. Batı Yorkshire Emniyet Müdürü</w:t>
      </w:r>
      <w:r w:rsidR="00F25813">
        <w:t>,</w:t>
      </w:r>
      <w:r w:rsidR="00F25813">
        <w:rPr>
          <w:rFonts w:ascii="Arial" w:hAnsi="Arial"/>
          <w:color w:val="444444"/>
        </w:rPr>
        <w:t xml:space="preserve"> </w:t>
      </w:r>
      <w:r w:rsidR="00F25813">
        <w:t xml:space="preserve">[2017] EWHC 159). Ayrıca Mahkemenin hukuki meseleler ve güvenlik meselelerine ilişkin Moldova Cumhuriyeti ve </w:t>
      </w:r>
      <w:r w:rsidR="00F25813">
        <w:rPr>
          <w:i/>
        </w:rPr>
        <w:t>de facto</w:t>
      </w:r>
      <w:r w:rsidR="00F25813">
        <w:t xml:space="preserve"> Transdinyester rejimi arasında gayriresmi ilişkilerin rejimi destekleme olarak algılanamayacağı görüşünü benimsediği</w:t>
      </w:r>
      <w:r w:rsidR="00F25813">
        <w:rPr>
          <w:i/>
        </w:rPr>
        <w:t xml:space="preserve"> Ilaşçu ve Diğerleri </w:t>
      </w:r>
      <w:r w:rsidR="00F25813">
        <w:t>(yukarıda anılan, §§ 177, 225 ve 345.maddeleri) davasına da atıfta bulunmuştur.</w:t>
      </w:r>
    </w:p>
    <w:p w:rsidR="00F25813" w:rsidRPr="007C6A77" w:rsidRDefault="00F25813" w:rsidP="00F25813">
      <w:pPr>
        <w:pStyle w:val="ECHRHeading4"/>
      </w:pPr>
      <w:r>
        <w:t>AIRE Merkezine (Avrupa Kişisel Haklar Tavsiye Merkezi) sunulan üçüncü taraf görüşleri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215</w:t>
      </w:r>
      <w:r w:rsidRPr="007C6A77">
        <w:fldChar w:fldCharType="end"/>
      </w:r>
      <w:r w:rsidR="00F25813">
        <w:t>.  AIRE Merkezi Daire Kararında ortaya konulduğu şekilde Daire önündeki müdahalesine atıfta bulunmuştur (bk. Daire Kararı 252-56. paragraflar). AİHM/Avrupa Konseyi hukuku, uluslararası hukuk ve AB hukukuna ilişkin ilave görüşler sunmuştur.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216</w:t>
      </w:r>
      <w:r w:rsidRPr="007C6A77">
        <w:fldChar w:fldCharType="end"/>
      </w:r>
      <w:r w:rsidR="00F25813">
        <w:t>.  İlk olarak, Sözleşme’nin toplu uygulama antlaşması olarak özel yapısı, Akit Devletlerin -uygun olduğu hallerde- güvence altına almayı üstlendikleri kişilerin haklarını korumak için toplu bir şekilde hareket etmek gibi bir görevi olduğunun kabulünü gerektirmektedir. Diğer bir ifadeyle, bu hakların koruma altına alınması gereken durumlarda işbirliği yapmaları gerekmektedir. Mahkemenin bir Devletin diğer uluslararası belgelere uymasına ilişkin karar vermeye yetkin olmadığını söylemek doğru olmasına karşın (bk. Daire Kararı 288.paragraf) AIRE Merkezi Büyük Daireyi, “Bu Sözleşme hükümlerinden hiçbirinin bir Devletin taraf olduğu başka bir anlaşma uyarınca... sağlanan hakları sınırlayacak veya derogasyona gidilecek şekilde yorumlanamaz” ifadesi geçen Sözleşme’nin 53.maddesini hatırlamaya davet etmiştir. Bundan dolayı, Sözleşme haklarının düzgün bir şekilde uygulanmasının güvenceye alınmasına yardımcı olmak amacıyla, diğer uluslararası anlaşmaların toplu/ortak işbirliği yükümlülüğü gerektirdiği durumlarda, 53.madde bu yükümlülüklere bağlı kalma usulünün Sözleşme’nin kendisine uygunluğunun belirlenmesiyle ilgili olmasını gerektirebilir ((</w:t>
      </w:r>
      <w:r w:rsidR="00F25813">
        <w:rPr>
          <w:i/>
        </w:rPr>
        <w:t xml:space="preserve">M.S.S. </w:t>
      </w:r>
      <w:r w:rsidR="0092400A">
        <w:rPr>
          <w:i/>
        </w:rPr>
        <w:t>/</w:t>
      </w:r>
      <w:r w:rsidR="00F25813">
        <w:rPr>
          <w:i/>
        </w:rPr>
        <w:t xml:space="preserve"> Belçika ve Yunanistan </w:t>
      </w:r>
      <w:r w:rsidR="00F25813">
        <w:t xml:space="preserve">[BD], </w:t>
      </w:r>
      <w:r w:rsidR="00964336">
        <w:t>No.</w:t>
      </w:r>
      <w:r w:rsidR="00F25813">
        <w:t xml:space="preserve"> 30696/09, §§ 249-50, AİHM 2011). Sınır ötesi veya yargı yetkisinin ötesi bağlamında 2.madde uyarınca usul yükümlülükleri alanında, üçüncü taraf Büyük Daireyi, Mahkemenin tamamen etkin ve 2.maddeye uygun bir soruşturma yapmak amacıyla Akit Devletlerin birbirleriyle işbirliği yapma görevlerini ifa yeterliliklerini değerlendirmesini gerektiren</w:t>
      </w:r>
      <w:r w:rsidR="00F25813">
        <w:rPr>
          <w:i/>
        </w:rPr>
        <w:t xml:space="preserve"> Ranstev </w:t>
      </w:r>
      <w:r w:rsidR="00BD6CB7">
        <w:t>d</w:t>
      </w:r>
      <w:r w:rsidR="00F25813">
        <w:t>avası (§§ 241-42, 245-47) yaklaşımını benimsemeye davet etmiştir.</w:t>
      </w:r>
    </w:p>
    <w:p w:rsidR="00F25813" w:rsidRPr="007C6A77" w:rsidRDefault="00BB2D2A" w:rsidP="00F25813">
      <w:pPr>
        <w:pStyle w:val="ECHRPara"/>
        <w:rPr>
          <w:snapToGrid w:val="0"/>
        </w:rPr>
      </w:pPr>
      <w:r w:rsidRPr="007C6A77">
        <w:fldChar w:fldCharType="begin"/>
      </w:r>
      <w:r w:rsidR="00F25813" w:rsidRPr="007C6A77">
        <w:instrText xml:space="preserve"> SEQ level0 \*arabic </w:instrText>
      </w:r>
      <w:r w:rsidRPr="007C6A77">
        <w:fldChar w:fldCharType="separate"/>
      </w:r>
      <w:r w:rsidR="00332D11">
        <w:rPr>
          <w:noProof/>
        </w:rPr>
        <w:t>217</w:t>
      </w:r>
      <w:r w:rsidRPr="007C6A77">
        <w:fldChar w:fldCharType="end"/>
      </w:r>
      <w:r w:rsidR="00F25813">
        <w:t xml:space="preserve">.  İkinci olarak, AIRE Merkezi üye Devletler arasında işbirliğini güçlendirme niyetiyle AB hukukundaki (örneğin, Avrupa tutuklama müzekkeresi) gelişmeleri vurgulamıştır. Sözleşme’nin 2,3 ve/veya 4.maddeleri uyarınca suçlar tartışma konusu oluşturduğunda sınır ötesi işbirliğini gerektirir yönünde Avrupa’da - hem Avrupa Konseyi hukuku hem de AB hukukunda - bir eğilim ortaya çıkmıştır. Bu eğilim, yargı yetkilerinin dışında meydana gelen bu maddelere ters düşen soruşturma eylemlerinde, şayet bu eylemlere etkin bir soruşturma yürütebilmeleri için işbirliği gerekiyorsa, Devletlere tam olarak işbirliği yapmaları için yükümlülük getirmiştir (2.madde uyarınca usul yükümlülüğünün “çıkarılabilir” doğasına ilişkin olarak yukarıda anılan, gerekli değişikliklerin yapılması koşulu ile </w:t>
      </w:r>
      <w:r w:rsidR="00F25813">
        <w:rPr>
          <w:i/>
        </w:rPr>
        <w:t>(mutatis mutandis),</w:t>
      </w:r>
      <w:r w:rsidR="00275888">
        <w:rPr>
          <w:i/>
        </w:rPr>
        <w:t xml:space="preserve"> </w:t>
      </w:r>
      <w:r w:rsidR="00F25813">
        <w:rPr>
          <w:i/>
        </w:rPr>
        <w:t xml:space="preserve">Šilih, </w:t>
      </w:r>
      <w:r w:rsidR="00F25813">
        <w:t>§ 159’a atıfta bulunulmuştur).</w:t>
      </w:r>
    </w:p>
    <w:p w:rsidR="00F25813" w:rsidRPr="007C6A77" w:rsidRDefault="00F25813" w:rsidP="00F25813">
      <w:pPr>
        <w:pStyle w:val="ECHRHeading3"/>
      </w:pPr>
      <w:r>
        <w:t xml:space="preserve">3.  Mahkemenin </w:t>
      </w:r>
      <w:r w:rsidR="00D82548">
        <w:t>değerlendirmesi</w:t>
      </w:r>
    </w:p>
    <w:p w:rsidR="00F25813" w:rsidRPr="007C6A77" w:rsidRDefault="00F25813" w:rsidP="00F25813">
      <w:pPr>
        <w:pStyle w:val="ECHRHeading4"/>
      </w:pPr>
      <w:r>
        <w:t>2. madde uyarınca usul yükümlülüğü ve davalı Devletlerin yargı yetkisi içerisinde yürütülen soruşturmalar</w:t>
      </w:r>
    </w:p>
    <w:p w:rsidR="00F25813" w:rsidRPr="007C6A77" w:rsidRDefault="00F25813" w:rsidP="00F25813">
      <w:pPr>
        <w:pStyle w:val="ECHRHeading5"/>
        <w:outlineLvl w:val="5"/>
      </w:pPr>
      <w:bookmarkStart w:id="51" w:name="_Toc430944101"/>
      <w:bookmarkEnd w:id="51"/>
      <w:r>
        <w:t>Genel ilkeler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218</w:t>
      </w:r>
      <w:r w:rsidRPr="007C6A77">
        <w:fldChar w:fldCharType="end"/>
      </w:r>
      <w:r w:rsidR="00F25813">
        <w:t xml:space="preserve">.  Mahkeme, ilk olarak, Sözleşme’nin 2. maddesi uyarınca garanti altına alınan yaşam hakkının Sözleşme’deki en temel hükümlerden biri sayıldığını ve ayrıca Avrupa Konseyini oluşturan demokratik toplumların temel değerlerinden biri olarak yüceltildiğini yinelemektedir (bk. </w:t>
      </w:r>
      <w:r w:rsidR="002B2A06">
        <w:t>d</w:t>
      </w:r>
      <w:r w:rsidR="00F25813">
        <w:t xml:space="preserve">iğer </w:t>
      </w:r>
      <w:r w:rsidR="002B2A06">
        <w:t xml:space="preserve">pek </w:t>
      </w:r>
      <w:r w:rsidR="00F25813">
        <w:t xml:space="preserve">çok </w:t>
      </w:r>
      <w:r w:rsidR="002B2A06">
        <w:t>kararın yanı sıra</w:t>
      </w:r>
      <w:r w:rsidR="00F25813">
        <w:t xml:space="preserve">,  </w:t>
      </w:r>
      <w:r w:rsidR="00F25813">
        <w:rPr>
          <w:i/>
        </w:rPr>
        <w:t>Lopes de Sousa Fernandes</w:t>
      </w:r>
      <w:r w:rsidR="00A060D9">
        <w:rPr>
          <w:i/>
        </w:rPr>
        <w:t xml:space="preserve"> </w:t>
      </w:r>
      <w:r w:rsidR="00F25813">
        <w:rPr>
          <w:i/>
        </w:rPr>
        <w:t>/</w:t>
      </w:r>
      <w:r w:rsidR="00A060D9">
        <w:rPr>
          <w:i/>
        </w:rPr>
        <w:t xml:space="preserve"> </w:t>
      </w:r>
      <w:r w:rsidR="00F25813">
        <w:rPr>
          <w:i/>
        </w:rPr>
        <w:t>Portekiz</w:t>
      </w:r>
      <w:r w:rsidR="00F25813">
        <w:t xml:space="preserve"> [BD], </w:t>
      </w:r>
      <w:r w:rsidR="00964336">
        <w:t>No.</w:t>
      </w:r>
      <w:r w:rsidR="00F25813">
        <w:t xml:space="preserve"> 56080/13, § 164, 19 Aralık 2017). Üstelik, Devletin “Sözleşme’de belirtilen hak ve özgürlükler bağlamında yetki alanında bulunan herkesi güvence altına almaya” ilişkin genel görevi ile birlikte Sözleşme’nin 2. maddesi gereğince yaşama hakkını koruma yükümlülüğü, dolaylı olarak, kişilerin güç kullanımı sonucunda öldürülmesi durumunda etkin bir resmi soruşturmanın yürütülmesini gerektirmektedir (bk. </w:t>
      </w:r>
      <w:r w:rsidR="00F25813">
        <w:rPr>
          <w:i/>
        </w:rPr>
        <w:t>Mustafa Tunç ve Fecire Tunç</w:t>
      </w:r>
      <w:r w:rsidR="00A060D9">
        <w:rPr>
          <w:i/>
        </w:rPr>
        <w:t xml:space="preserve"> </w:t>
      </w:r>
      <w:r w:rsidR="00F25813">
        <w:rPr>
          <w:i/>
        </w:rPr>
        <w:t>/</w:t>
      </w:r>
      <w:r w:rsidR="00A060D9">
        <w:rPr>
          <w:i/>
        </w:rPr>
        <w:t xml:space="preserve"> </w:t>
      </w:r>
      <w:r w:rsidR="00F25813">
        <w:rPr>
          <w:i/>
        </w:rPr>
        <w:t xml:space="preserve">Türkiye </w:t>
      </w:r>
      <w:r w:rsidR="00F25813">
        <w:t xml:space="preserve">[BD], </w:t>
      </w:r>
      <w:r w:rsidR="00964336">
        <w:t>No.</w:t>
      </w:r>
      <w:r w:rsidR="00F25813">
        <w:t> 24014/05, § 169, 14 Nisan 2015).</w:t>
      </w:r>
    </w:p>
    <w:p w:rsidR="00F25813" w:rsidRPr="007C6A77" w:rsidRDefault="00BB2D2A" w:rsidP="00F25813">
      <w:pPr>
        <w:pStyle w:val="ECHRPara"/>
        <w:rPr>
          <w:snapToGrid w:val="0"/>
        </w:rPr>
      </w:pPr>
      <w:r w:rsidRPr="007C6A77">
        <w:fldChar w:fldCharType="begin"/>
      </w:r>
      <w:r w:rsidR="00F25813" w:rsidRPr="007C6A77">
        <w:instrText xml:space="preserve"> SEQ level0 \*arabic </w:instrText>
      </w:r>
      <w:r w:rsidRPr="007C6A77">
        <w:fldChar w:fldCharType="separate"/>
      </w:r>
      <w:r w:rsidR="00332D11">
        <w:rPr>
          <w:noProof/>
        </w:rPr>
        <w:t>219</w:t>
      </w:r>
      <w:r w:rsidRPr="007C6A77">
        <w:fldChar w:fldCharType="end"/>
      </w:r>
      <w:r w:rsidR="00F25813">
        <w:t xml:space="preserve">.  2.madde uyarınca soruşturma ile ilgili usul yükümlülüğüne ilişkin genel ilkeler </w:t>
      </w:r>
      <w:r w:rsidR="00F25813">
        <w:rPr>
          <w:i/>
        </w:rPr>
        <w:t>Mustafa Tunç ve Fecire Tunç</w:t>
      </w:r>
      <w:r w:rsidR="00F25813">
        <w:t xml:space="preserve"> (yukarıda anılan, §§ 169-81) davasında aşağıdaki şekilde yeniden belirtilmiştir:</w:t>
      </w:r>
    </w:p>
    <w:p w:rsidR="00F25813" w:rsidRPr="007C6A77" w:rsidRDefault="00F25813" w:rsidP="00A936F2">
      <w:pPr>
        <w:pStyle w:val="JuQuotSub"/>
      </w:pPr>
      <w:r>
        <w:t xml:space="preserve">“169.  ... Soruşturma, diğerleri arasında (inter alia), eksiksiz, tarafsız ve itinalı bir şekilde yürütülmelidir  (bk. </w:t>
      </w:r>
      <w:r>
        <w:rPr>
          <w:i/>
        </w:rPr>
        <w:t>McCann ve Diğerleri v. Birleşik Krallık</w:t>
      </w:r>
      <w:r>
        <w:t xml:space="preserve">, 27 Eylül 1995, §§ 161-163, A Serisi </w:t>
      </w:r>
      <w:r w:rsidR="00964336">
        <w:t>No.</w:t>
      </w:r>
      <w:r>
        <w:t> 324).</w:t>
      </w:r>
    </w:p>
    <w:p w:rsidR="00F25813" w:rsidRPr="007C6A77" w:rsidRDefault="00F25813" w:rsidP="00A936F2">
      <w:pPr>
        <w:pStyle w:val="JuQuotSub"/>
      </w:pPr>
      <w:r>
        <w:t xml:space="preserve">170.  Bu yükümlülüğün gerektirdiği soruşturma biçimi, yaşam hakkının ihlalinin niteliğine göre değişiklik göstermektedir: genel olarak ölüme kasten neden olunduğunda cezai soruşturma yapılması gerekmesine rağmen, ölümün ihmal sonucunda meydana gelmiş olması halinde hukuk davası veya hatta disiplin soruşturması açılması halinde </w:t>
      </w:r>
      <w:r w:rsidR="00E154EF">
        <w:t>sözkonusu</w:t>
      </w:r>
      <w:r>
        <w:t xml:space="preserve"> yükümlülük yerine getirilmiş olur (bk</w:t>
      </w:r>
      <w:r>
        <w:rPr>
          <w:i/>
        </w:rPr>
        <w:t xml:space="preserve">., </w:t>
      </w:r>
      <w:r w:rsidRPr="00182BFF">
        <w:t>diğerlerinin yanı sıra,</w:t>
      </w:r>
      <w:r>
        <w:t xml:space="preserve"> yukarıda anılan, </w:t>
      </w:r>
      <w:r>
        <w:rPr>
          <w:i/>
        </w:rPr>
        <w:t>Calvelli ve Ciglio</w:t>
      </w:r>
      <w:r w:rsidR="00150DA0">
        <w:rPr>
          <w:i/>
        </w:rPr>
        <w:t xml:space="preserve"> </w:t>
      </w:r>
      <w:r>
        <w:rPr>
          <w:i/>
        </w:rPr>
        <w:t>/</w:t>
      </w:r>
      <w:r w:rsidR="00150DA0">
        <w:rPr>
          <w:i/>
        </w:rPr>
        <w:t xml:space="preserve"> </w:t>
      </w:r>
      <w:r>
        <w:rPr>
          <w:i/>
        </w:rPr>
        <w:t>İtalya</w:t>
      </w:r>
      <w:r>
        <w:t xml:space="preserve">  § 51  </w:t>
      </w:r>
      <w:r>
        <w:rPr>
          <w:i/>
        </w:rPr>
        <w:t>Mastromatteo</w:t>
      </w:r>
      <w:r w:rsidR="00150DA0">
        <w:rPr>
          <w:i/>
        </w:rPr>
        <w:t xml:space="preserve"> </w:t>
      </w:r>
      <w:r>
        <w:rPr>
          <w:i/>
        </w:rPr>
        <w:t>/</w:t>
      </w:r>
      <w:r w:rsidR="00150DA0">
        <w:rPr>
          <w:i/>
        </w:rPr>
        <w:t xml:space="preserve"> </w:t>
      </w:r>
      <w:r>
        <w:rPr>
          <w:i/>
        </w:rPr>
        <w:t>İtalya</w:t>
      </w:r>
      <w:r w:rsidR="00182BFF">
        <w:rPr>
          <w:i/>
        </w:rPr>
        <w:t xml:space="preserve"> </w:t>
      </w:r>
      <w:r>
        <w:t xml:space="preserve">[BD], </w:t>
      </w:r>
      <w:r w:rsidR="00964336">
        <w:t>No.</w:t>
      </w:r>
      <w:r>
        <w:t> 37703/97, § 90, AİHM 2002</w:t>
      </w:r>
      <w:r>
        <w:noBreakHyphen/>
        <w:t xml:space="preserve">VIII; ve yukarıda anılan </w:t>
      </w:r>
      <w:r>
        <w:rPr>
          <w:i/>
        </w:rPr>
        <w:t>Vo</w:t>
      </w:r>
      <w:r w:rsidR="00796B1B">
        <w:rPr>
          <w:i/>
        </w:rPr>
        <w:t xml:space="preserve"> </w:t>
      </w:r>
      <w:r>
        <w:rPr>
          <w:i/>
        </w:rPr>
        <w:t>/</w:t>
      </w:r>
      <w:r w:rsidR="00796B1B">
        <w:rPr>
          <w:i/>
        </w:rPr>
        <w:t xml:space="preserve"> </w:t>
      </w:r>
      <w:r>
        <w:rPr>
          <w:i/>
        </w:rPr>
        <w:t>Fransa</w:t>
      </w:r>
      <w:r>
        <w:t xml:space="preserve">, § 90). </w:t>
      </w:r>
    </w:p>
    <w:p w:rsidR="00F25813" w:rsidRPr="007C6A77" w:rsidRDefault="00F25813" w:rsidP="00A936F2">
      <w:pPr>
        <w:pStyle w:val="JuQuotSub"/>
        <w:rPr>
          <w:i/>
        </w:rPr>
      </w:pPr>
      <w:r>
        <w:t xml:space="preserve">171.  Bir Devlet’in yargı yetkisi sınırlarında bulunan kişilerin hayatlarını güvence altına almak için uygun adımları atmasını gerektiren 2. madde, </w:t>
      </w:r>
      <w:r w:rsidR="00E154EF">
        <w:t>sözkonusu</w:t>
      </w:r>
      <w:r>
        <w:t xml:space="preserve"> Devlete, kişiye karşı suçların işlenmesini engellemek için ilgili hükümlerin ihlalini önleme, bastırma ve cezalandırma maksadı güden kanun yaptırımı mekanizmasının desteklediği etkili ceza kanunu hükümleri koyarak yaşam hakkını güvence altına alması görevini vermektedir. Bu yükümlülük, ölüme yol açan saldırıyı gerçekleştirdiği düşünülen failin bir Devlet görevlisi olmadığı durumlarda bile, bir kişinin şüpheli koşullar altında hayatı tehdit eden şekilde yaralandığına inanmak için gerekçeler olduğunda etkili ve resmi bir soruşturmanın yapılmasını doğrudan gerektirmektedir (bk., </w:t>
      </w:r>
      <w:r>
        <w:rPr>
          <w:rFonts w:eastAsiaTheme="majorEastAsia"/>
          <w:i/>
        </w:rPr>
        <w:t>Menson</w:t>
      </w:r>
      <w:r w:rsidR="004A06FD">
        <w:rPr>
          <w:rFonts w:eastAsiaTheme="majorEastAsia"/>
          <w:i/>
        </w:rPr>
        <w:t xml:space="preserve"> </w:t>
      </w:r>
      <w:r>
        <w:rPr>
          <w:rFonts w:eastAsiaTheme="majorEastAsia"/>
          <w:i/>
        </w:rPr>
        <w:t>/</w:t>
      </w:r>
      <w:r w:rsidR="004A06FD">
        <w:rPr>
          <w:rFonts w:eastAsiaTheme="majorEastAsia"/>
          <w:i/>
        </w:rPr>
        <w:t xml:space="preserve"> </w:t>
      </w:r>
      <w:r>
        <w:t xml:space="preserve">Birleşik Krallık (k.k.), </w:t>
      </w:r>
      <w:r w:rsidR="00964336">
        <w:t>No.</w:t>
      </w:r>
      <w:r>
        <w:t xml:space="preserve"> 47916/99, AİHM 2003-V; </w:t>
      </w:r>
      <w:r>
        <w:rPr>
          <w:rFonts w:eastAsiaTheme="majorEastAsia"/>
          <w:i/>
        </w:rPr>
        <w:t>Pereira Henriques</w:t>
      </w:r>
      <w:r w:rsidR="004A06FD">
        <w:rPr>
          <w:rFonts w:eastAsiaTheme="majorEastAsia"/>
          <w:i/>
        </w:rPr>
        <w:t xml:space="preserve"> </w:t>
      </w:r>
      <w:r>
        <w:rPr>
          <w:rFonts w:eastAsiaTheme="majorEastAsia"/>
          <w:i/>
        </w:rPr>
        <w:t>/</w:t>
      </w:r>
      <w:r w:rsidR="004A06FD">
        <w:rPr>
          <w:rFonts w:eastAsiaTheme="majorEastAsia"/>
          <w:i/>
        </w:rPr>
        <w:t xml:space="preserve"> </w:t>
      </w:r>
      <w:r w:rsidRPr="000222C7">
        <w:rPr>
          <w:i/>
        </w:rPr>
        <w:t>Lüksemburg</w:t>
      </w:r>
      <w:r>
        <w:t xml:space="preserve">, </w:t>
      </w:r>
      <w:r w:rsidR="00964336">
        <w:t>No.</w:t>
      </w:r>
      <w:r>
        <w:t xml:space="preserve"> 60255/00, § 56, 9 Mayıs 2006 ve </w:t>
      </w:r>
      <w:r>
        <w:rPr>
          <w:rFonts w:eastAsiaTheme="majorEastAsia"/>
          <w:i/>
        </w:rPr>
        <w:t>Yotova</w:t>
      </w:r>
      <w:r w:rsidR="004A06FD">
        <w:rPr>
          <w:rFonts w:eastAsiaTheme="majorEastAsia"/>
          <w:i/>
        </w:rPr>
        <w:t xml:space="preserve"> </w:t>
      </w:r>
      <w:r>
        <w:rPr>
          <w:rFonts w:eastAsiaTheme="majorEastAsia"/>
          <w:i/>
        </w:rPr>
        <w:t>/</w:t>
      </w:r>
      <w:r w:rsidR="004A06FD">
        <w:rPr>
          <w:rFonts w:eastAsiaTheme="majorEastAsia"/>
          <w:i/>
        </w:rPr>
        <w:t xml:space="preserve"> </w:t>
      </w:r>
      <w:r>
        <w:rPr>
          <w:rFonts w:eastAsiaTheme="majorEastAsia"/>
          <w:i/>
        </w:rPr>
        <w:t xml:space="preserve">Bulgaristan, </w:t>
      </w:r>
      <w:r w:rsidR="00964336">
        <w:t>No.</w:t>
      </w:r>
      <w:r>
        <w:t> 43606/04, § 68, 23 Ekim 2012).</w:t>
      </w:r>
    </w:p>
    <w:p w:rsidR="00F25813" w:rsidRPr="007C6A77" w:rsidRDefault="00F25813" w:rsidP="00A936F2">
      <w:pPr>
        <w:pStyle w:val="JuQuotSub"/>
      </w:pPr>
      <w:r>
        <w:t xml:space="preserve">172.  Sözleşme’nin 2. maddesinin anlamı çerçevesinde “etkili” olması için bir soruşturmanın ilk olarak yeterli olması gerekmektedir  (bk. </w:t>
      </w:r>
      <w:r>
        <w:rPr>
          <w:i/>
        </w:rPr>
        <w:t>Ramsahai ve Diğerleri</w:t>
      </w:r>
      <w:r w:rsidR="004A06FD">
        <w:rPr>
          <w:i/>
        </w:rPr>
        <w:t xml:space="preserve"> </w:t>
      </w:r>
      <w:r>
        <w:rPr>
          <w:i/>
        </w:rPr>
        <w:t>/</w:t>
      </w:r>
      <w:r w:rsidR="004A06FD">
        <w:rPr>
          <w:i/>
        </w:rPr>
        <w:t xml:space="preserve"> </w:t>
      </w:r>
      <w:r>
        <w:t xml:space="preserve">Hollanda [BD], </w:t>
      </w:r>
      <w:r w:rsidR="00964336">
        <w:t>No.</w:t>
      </w:r>
      <w:r>
        <w:t> 52391/99, § 324, AİHM 2007</w:t>
      </w:r>
      <w:r>
        <w:noBreakHyphen/>
        <w:t>II). Diğer bir deyişle, soruşturma olayların belirlenmesini ve uygun olduğu hallerde, sorumluların tespit edilmesini ve cezalandırılmasını sağlamalıdır.</w:t>
      </w:r>
    </w:p>
    <w:p w:rsidR="00F25813" w:rsidRPr="007C6A77" w:rsidRDefault="00F25813" w:rsidP="00A936F2">
      <w:pPr>
        <w:pStyle w:val="JuQuotSub"/>
        <w:rPr>
          <w:i/>
        </w:rPr>
      </w:pPr>
      <w:r>
        <w:t xml:space="preserve">173.  Etkili soruşturma yürütme yükümlülüğü bir sonuç yükümlülüğü değil, araç yükümlülüğüdür: yetkililer </w:t>
      </w:r>
      <w:r w:rsidR="00E154EF">
        <w:t>sözkonusu</w:t>
      </w:r>
      <w:r>
        <w:t xml:space="preserve"> olaya ilişkin kanıtları korumak için mevcut makul tedbirleri almalıdırlar (bk. </w:t>
      </w:r>
      <w:r>
        <w:rPr>
          <w:i/>
        </w:rPr>
        <w:t xml:space="preserve">Jaloud / Hollanda </w:t>
      </w:r>
      <w:r>
        <w:t xml:space="preserve">[BD], </w:t>
      </w:r>
      <w:r w:rsidR="00964336">
        <w:t>No.</w:t>
      </w:r>
      <w:r>
        <w:t xml:space="preserve"> 47708/08, § 186, AİHM 2014; ve </w:t>
      </w:r>
      <w:r>
        <w:rPr>
          <w:i/>
        </w:rPr>
        <w:t>Nachova ve Diğerleri / Bulgaristan</w:t>
      </w:r>
      <w:r>
        <w:t xml:space="preserve"> [BD], </w:t>
      </w:r>
      <w:r w:rsidR="00964336">
        <w:t>No.</w:t>
      </w:r>
      <w:r>
        <w:t xml:space="preserve"> 43577/98 ve 43579/98, § 160, AİHM 2005</w:t>
      </w:r>
      <w:r>
        <w:noBreakHyphen/>
        <w:t xml:space="preserve">VII). </w:t>
      </w:r>
    </w:p>
    <w:p w:rsidR="00F25813" w:rsidRPr="007C6A77" w:rsidRDefault="00F25813" w:rsidP="00A936F2">
      <w:pPr>
        <w:pStyle w:val="JuQuotSub"/>
      </w:pPr>
      <w:r>
        <w:t xml:space="preserve">174.  Her durumda, </w:t>
      </w:r>
      <w:r w:rsidR="00E154EF">
        <w:t>sözkonusu</w:t>
      </w:r>
      <w:r>
        <w:t xml:space="preserve"> olaylarla ilgili kanıtların elde edilmesi, diğerlerinin yanı sıra, görgü tanıklarının ifadelerinin alınması, bilirkişi incelemelerinin yapılması ve gerektiğinde yaralanmalar ile ilgili eksiksiz ve detaylı bir rapor hazırlanması ve ölüm sebebi </w:t>
      </w:r>
      <w:r w:rsidR="007F3C38">
        <w:t>dâhil</w:t>
      </w:r>
      <w:r>
        <w:t xml:space="preserve"> ilgili klinik tespitlerin tarafsız olarak incelenmesi amacıyla bir otopsi yapılması da </w:t>
      </w:r>
      <w:r w:rsidR="007F3C38">
        <w:t>dâhil</w:t>
      </w:r>
      <w:r>
        <w:t xml:space="preserve"> olmak üzere yetkili makamların imkânları dâhilindeki tüm tedbirleri almış olmaları gerekmektedir. Soruşturmanın ölüm sebebini veya olası sorumlularını ortaya çıkarabilme gücünü azaltacak her türlü yetersizlik bu norma uygun olması konusunda risk teşkil edecektir (bk. </w:t>
      </w:r>
      <w:r>
        <w:rPr>
          <w:i/>
        </w:rPr>
        <w:t>Giuliani ve Gaggio / İtalya</w:t>
      </w:r>
      <w:r>
        <w:t xml:space="preserve"> [BD], </w:t>
      </w:r>
      <w:r w:rsidR="00964336">
        <w:t>No.</w:t>
      </w:r>
      <w:r>
        <w:t xml:space="preserve"> 23458/02, § 301, AİHM 2011).</w:t>
      </w:r>
    </w:p>
    <w:p w:rsidR="00F25813" w:rsidRPr="007C6A77" w:rsidRDefault="00F25813" w:rsidP="00A936F2">
      <w:pPr>
        <w:pStyle w:val="JuQuotSub"/>
      </w:pPr>
      <w:r>
        <w:t xml:space="preserve">175.  Özellikle, soruşturma sonuçlarının, ilgili tüm unsurların kapsamlı, objektif ve tarafsız bir incelemeye dayandırılması gerekmektedir. Belli bir soruşturma çizgisini takip etmemek, soruşturmanın dava koşullarını ve gerektiğinde sorumluların kimliklerini ortaya çıkarma gücünü mutlaka etkileyecektir (bk. </w:t>
      </w:r>
      <w:r>
        <w:rPr>
          <w:i/>
        </w:rPr>
        <w:t>Kolevi / Bulgaristan</w:t>
      </w:r>
      <w:r>
        <w:t xml:space="preserve">, </w:t>
      </w:r>
      <w:r w:rsidR="00964336">
        <w:t>No.</w:t>
      </w:r>
      <w:r>
        <w:t> 1108/02, § 201, 5 Kasım 2009).</w:t>
      </w:r>
    </w:p>
    <w:p w:rsidR="00F25813" w:rsidRPr="007C6A77" w:rsidRDefault="00F25813" w:rsidP="00A936F2">
      <w:pPr>
        <w:pStyle w:val="JuQuotSub"/>
      </w:pPr>
      <w:r>
        <w:t xml:space="preserve">176.  Ancak, asgari etkinlik şartına uygun inceleme türü ve derecesi de davanın koşullarına bağlıdır. Basit bir soruşturma eylemleri listesi veya diğer ölçütleri oluşturacak durumların değişkenliklerinin kısıtlanması mümkün değildir (bk. </w:t>
      </w:r>
      <w:r>
        <w:rPr>
          <w:i/>
        </w:rPr>
        <w:t>Tanrıkulu / Türkiy</w:t>
      </w:r>
      <w:r>
        <w:t xml:space="preserve">e [BD], </w:t>
      </w:r>
      <w:r w:rsidR="00964336">
        <w:t>No.</w:t>
      </w:r>
      <w:r>
        <w:t xml:space="preserve"> 23763/94, §§ 101-110, AİHM 1999-IV ve </w:t>
      </w:r>
      <w:r>
        <w:rPr>
          <w:i/>
        </w:rPr>
        <w:t>Velikova / Bulgaristan</w:t>
      </w:r>
      <w:r>
        <w:t xml:space="preserve">, </w:t>
      </w:r>
      <w:r w:rsidR="00964336">
        <w:t>No.</w:t>
      </w:r>
      <w:r>
        <w:t> 41488/98, § 80, AİHM 2000</w:t>
      </w:r>
      <w:r>
        <w:noBreakHyphen/>
        <w:t>VI).</w:t>
      </w:r>
    </w:p>
    <w:p w:rsidR="00F25813" w:rsidRPr="007C6A77" w:rsidRDefault="00F25813" w:rsidP="00A936F2">
      <w:pPr>
        <w:pStyle w:val="JuQuotSub"/>
      </w:pPr>
      <w:r>
        <w:t xml:space="preserve">177.  Ayrıca soruşturmada görevli kişilerin, olayların içerisinde olan veya olabilecek kişilerden bağımsız olmaları gerekmektedir. Bu durum sadece hiyerarşi ile ilgili veya kurumsal bir bağlantı bulunmamasını değil aynı zamanda somut bir bağımsızlığı da gerektirmektedir. (bk. </w:t>
      </w:r>
      <w:r>
        <w:rPr>
          <w:i/>
        </w:rPr>
        <w:t>Anguelova / Bulgaristan</w:t>
      </w:r>
      <w:r>
        <w:t xml:space="preserve">, </w:t>
      </w:r>
      <w:r w:rsidR="00964336">
        <w:t>No.</w:t>
      </w:r>
      <w:r>
        <w:t> 38361/97, § 138, AİHM 2002</w:t>
      </w:r>
      <w:r>
        <w:noBreakHyphen/>
        <w:t>IV).</w:t>
      </w:r>
    </w:p>
    <w:p w:rsidR="00F25813" w:rsidRPr="007C6A77" w:rsidRDefault="00F25813" w:rsidP="00A936F2">
      <w:pPr>
        <w:pStyle w:val="JuQuotSub"/>
        <w:rPr>
          <w:rFonts w:eastAsia="Times New Roman"/>
        </w:rPr>
      </w:pPr>
      <w:r>
        <w:t xml:space="preserve">178.  Bu bağlamda makul bir ivedilik ve titizlik şarttır (bk. yukarıda anılan, </w:t>
      </w:r>
      <w:r>
        <w:rPr>
          <w:i/>
        </w:rPr>
        <w:t>Al-Skeini ve Diğerleri</w:t>
      </w:r>
      <w:r>
        <w:t>, § 167).</w:t>
      </w:r>
    </w:p>
    <w:p w:rsidR="00F25813" w:rsidRPr="007C6A77" w:rsidRDefault="00F25813" w:rsidP="00A936F2">
      <w:pPr>
        <w:pStyle w:val="JuQuotSub"/>
        <w:rPr>
          <w:rFonts w:eastAsia="Times New Roman"/>
        </w:rPr>
      </w:pPr>
      <w:r>
        <w:t xml:space="preserve">179.  Ayrıca soruşturma, maktulün yasal haklarının korunmasının gerekli olduğu ölçüde ailesi için erişebilir olmalıdır. Kamunun da, duruma göre değişen bir derecede soruşturmayı inceleme hakkını kullanabilmesi gerekmektedir. (bk. </w:t>
      </w:r>
      <w:r>
        <w:rPr>
          <w:i/>
        </w:rPr>
        <w:t>Hugh Jordan / Birleşik Krallık</w:t>
      </w:r>
      <w:r>
        <w:t xml:space="preserve">, </w:t>
      </w:r>
      <w:r w:rsidR="00964336">
        <w:t>No.</w:t>
      </w:r>
      <w:r>
        <w:t> 24746/94, § 109, AİHM 2001</w:t>
      </w:r>
      <w:r>
        <w:noBreakHyphen/>
        <w:t xml:space="preserve">III). Kamunun ve maktulün yakınlarının soruşturmaya erişim izni, yargılamanın başka safhaları için verilebilir (bk. diğer kararlar arasında, yukarıda anılan </w:t>
      </w:r>
      <w:r>
        <w:rPr>
          <w:i/>
        </w:rPr>
        <w:t>Giuliani ve Gaggio</w:t>
      </w:r>
      <w:r>
        <w:t xml:space="preserve">, § 304 ve </w:t>
      </w:r>
      <w:r>
        <w:rPr>
          <w:i/>
        </w:rPr>
        <w:t>McKerr / Birleşik Krallık</w:t>
      </w:r>
      <w:r>
        <w:t xml:space="preserve">, </w:t>
      </w:r>
      <w:r w:rsidR="00964336">
        <w:t>No.</w:t>
      </w:r>
      <w:r>
        <w:t> 28883/95, § 129, AİHM 2001</w:t>
      </w:r>
      <w:r>
        <w:noBreakHyphen/>
        <w:t>III).</w:t>
      </w:r>
    </w:p>
    <w:p w:rsidR="00F25813" w:rsidRPr="007C6A77" w:rsidRDefault="00F25813" w:rsidP="00A936F2">
      <w:pPr>
        <w:pStyle w:val="JuQuotSub"/>
      </w:pPr>
      <w:r>
        <w:t xml:space="preserve">180.  Son olarak, Sözleşme’nin 2. maddesi, yetkili makamlara, soruşturma esnasında maktulün bir yakını tarafından gelen her soruşturma tedbiri talebini yerine getirme zorunluluğu getirmemektedir (bk. yukarıda anılan </w:t>
      </w:r>
      <w:r>
        <w:rPr>
          <w:i/>
        </w:rPr>
        <w:t xml:space="preserve">Ramsahai </w:t>
      </w:r>
      <w:r>
        <w:t xml:space="preserve">ve Diğerleri, § 348 ve </w:t>
      </w:r>
      <w:r>
        <w:rPr>
          <w:i/>
        </w:rPr>
        <w:t>Velcea ve Mazăre / Romanya</w:t>
      </w:r>
      <w:r>
        <w:t xml:space="preserve">, </w:t>
      </w:r>
      <w:r w:rsidR="00964336">
        <w:t>No.</w:t>
      </w:r>
      <w:r>
        <w:t> 64301/01, § 113, 1 Aralık 2009).</w:t>
      </w:r>
    </w:p>
    <w:p w:rsidR="00F25813" w:rsidRPr="007C6A77" w:rsidRDefault="00F25813" w:rsidP="00A936F2">
      <w:pPr>
        <w:pStyle w:val="JuQuotSub"/>
        <w:rPr>
          <w:snapToGrid w:val="0"/>
        </w:rPr>
      </w:pPr>
      <w:r>
        <w:t xml:space="preserve">181.  Bir soruşturmanın yeterince etkili olup olmadığı sorusu, bütün ilgili olay ve olgulara dayanarak ve soruşturmanın gerçekte uygulanabilirliğine göre değerlendirilmelidir  (bk. </w:t>
      </w:r>
      <w:r>
        <w:rPr>
          <w:i/>
          <w:snapToGrid w:val="0"/>
        </w:rPr>
        <w:t>Dobriyeva ve Diğerleri / Rusya</w:t>
      </w:r>
      <w:r>
        <w:t xml:space="preserve">, </w:t>
      </w:r>
      <w:r w:rsidR="00964336">
        <w:t>No.</w:t>
      </w:r>
      <w:r>
        <w:t xml:space="preserve"> 18407/10, § 72, 19 Aralık 2013 ve </w:t>
      </w:r>
      <w:r>
        <w:rPr>
          <w:i/>
        </w:rPr>
        <w:t>Centre for Legal Resources on behalf of Valentin Câmpeanu / Romanya</w:t>
      </w:r>
      <w:r>
        <w:t xml:space="preserve"> [BD], </w:t>
      </w:r>
      <w:r w:rsidR="00964336">
        <w:t>No.</w:t>
      </w:r>
      <w:r>
        <w:t> 47848/08, § 147, 17 Temmuz 2014).”</w:t>
      </w:r>
    </w:p>
    <w:p w:rsidR="00F25813" w:rsidRPr="007C6A77" w:rsidRDefault="00F25813" w:rsidP="00F25813">
      <w:pPr>
        <w:pStyle w:val="ECHRHeading5"/>
        <w:outlineLvl w:val="5"/>
      </w:pPr>
      <w:r>
        <w:t>Genel ilkelerin mevcut davaya uygulanması</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220</w:t>
      </w:r>
      <w:r w:rsidRPr="007C6A77">
        <w:fldChar w:fldCharType="end"/>
      </w:r>
      <w:r w:rsidR="00F25813">
        <w:t>.  Daire öncelikle, ölümlerin Kıbrıs kontrolünde topraklarda gerçekleşmiş olması ve Türkiye hakkında yer bakımından (</w:t>
      </w:r>
      <w:r w:rsidR="00F25813">
        <w:rPr>
          <w:i/>
        </w:rPr>
        <w:t>ratione loci</w:t>
      </w:r>
      <w:r w:rsidR="00F25813">
        <w:t>) yargı yetkisine ilişkin önceki kararı ışığında, soruşturmaya ilişkin usul yükümlülüğünün her iki davalı Devlet için de oluştuğunu belirtmiştir (bk. Daire kararı 262.paragraf). Daha sonra Mahkeme ilgili soruşturmaları incelemiş ve davalı Devletlerin makamlarının soruşturmayla ilgili ivedilikle önemli sayıda adımı attığını gözlemlemiştir. Mahkeme, ilgili soruşturmaların kendi içinde genel olarak yeterliliğini şüpheye düşürecek bir eksiklik görmemektedir (bk. Daire Kararı 281.paragraf). Taraflar, Büyük Daire huzurunda bu tespitlere karşı koymamış ve davalı Devletlerin işbirliği yapamadıkları yönündeki iddialarına ilişkin görüşlerine odaklanmıştır.</w:t>
      </w:r>
    </w:p>
    <w:p w:rsidR="00F25813"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221</w:t>
      </w:r>
      <w:r w:rsidRPr="007C6A77">
        <w:fldChar w:fldCharType="end"/>
      </w:r>
      <w:r w:rsidR="00F25813">
        <w:t>.  Büyük Daire, her davalı Devletin makamlarınca yürütülen paralel soruşturmaların genel olarak yeterliliğine ilişkin Dairenin tespitlerini doğrulamaktadır. Bu doğrultuda, mevcut davadaki sorunun en önemli noktasının 2.madde kapsamındaki usul yükümlülüğünün bir parçası olarak işbirliği yapma görevinin mevcudiyeti ve kapsamı olduğu görüşündedir. O halde, davalı Devletlerce bu tür bir görevin ne kadarının yerine getirildiği göz önünde bulundurulmalıdır.</w:t>
      </w:r>
    </w:p>
    <w:p w:rsidR="007C4171" w:rsidRDefault="007C4171" w:rsidP="00F25813">
      <w:pPr>
        <w:pStyle w:val="ECHRPara"/>
      </w:pPr>
    </w:p>
    <w:p w:rsidR="00F25813" w:rsidRPr="007C6A77" w:rsidRDefault="00F25813" w:rsidP="00F25813">
      <w:pPr>
        <w:pStyle w:val="ECHRHeading4"/>
      </w:pPr>
      <w:r>
        <w:t>2. madde kapsamındaki usul yükümlülüğünün bir parçası olarak işbirliği yapma görevi</w:t>
      </w:r>
    </w:p>
    <w:p w:rsidR="00F25813" w:rsidRPr="007C6A77" w:rsidRDefault="00F25813" w:rsidP="00F25813">
      <w:pPr>
        <w:pStyle w:val="ECHRHeading5"/>
        <w:outlineLvl w:val="5"/>
      </w:pPr>
      <w:r>
        <w:t>İlgili içtihadın özeti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222</w:t>
      </w:r>
      <w:r w:rsidRPr="007C6A77">
        <w:fldChar w:fldCharType="end"/>
      </w:r>
      <w:r w:rsidR="00F25813">
        <w:t>.  Mahkemeden sınır ötesi veya uluslararası bağlamda 2. madde kapsamındaki usul yükümlülüğünün kapsamını ve bu yükümlülüğün diğer Devletlerle işbirliği yapma yükümlülüğü içerip içermediğini değerlendirmesinin talep edildiği çok az sayıda dava olmuştur.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223</w:t>
      </w:r>
      <w:r w:rsidRPr="007C6A77">
        <w:fldChar w:fldCharType="end"/>
      </w:r>
      <w:r w:rsidR="00F25813">
        <w:t>. </w:t>
      </w:r>
      <w:r w:rsidR="00F25813">
        <w:rPr>
          <w:i/>
        </w:rPr>
        <w:t>O’Loughlin</w:t>
      </w:r>
      <w:r w:rsidR="00F25813">
        <w:t xml:space="preserve"> davasında (yukarıda anılan), başvuranlar Sözleşme’nin 2. maddesi kapsamında, Birleşik Krallık makamlarının 17 Mayıs 1974 tarihinde Dublin ve Monaghan bombalamalarından kaynaklanan ölümlerle ilgili İrlanda’da yapılan soruşturmalara ve ölüm soruşturmalarına yardımcı olmamasından şikâyetçi olmuştur. Şüpheliler Kuzey İrlanda’daydılar. İlgili şikâyet altı aylık zaman sınırının dışına çıktığı için, Mahkeme, 2. maddenin bir Akit Devlete, ölümle sonuçlanan hukuka aykırı güç kullanımı ile ilgili olarak başka bir Akit Devletin yargı yetkisi dâhilinde yapılan tahkikat veya duruşmalarda işbirliği yapma yükümlülüğü getirip getirmeyeceğini veya hangi ölçüde getireceğini kararlaştırmaya gerek olmadığını belirtmiştir. Aralık 1972 ve Ocak 1973’te Dublin’de meydana gelen bombalamalarla ilgili olan </w:t>
      </w:r>
      <w:r w:rsidR="00F25813">
        <w:rPr>
          <w:i/>
        </w:rPr>
        <w:t>Cummins</w:t>
      </w:r>
      <w:r w:rsidR="00F25813">
        <w:t xml:space="preserve"> davasında (yukarıda anılan), Mahkeme, Birleşik Krallık makamlarının İrlanda'da yürütülen bir soruşturmayla etkin bir şekilde işbirliği yapıp yapmadıklarını incelemiş, ancak işbirliği yapılmadığı için </w:t>
      </w:r>
      <w:r w:rsidR="00EA609E">
        <w:t>şikâyetin</w:t>
      </w:r>
      <w:r w:rsidR="00F25813">
        <w:t xml:space="preserve"> açıkça dayanaktan yoksun olduğuna karar vermiştir.</w:t>
      </w:r>
    </w:p>
    <w:p w:rsidR="00F25813" w:rsidRPr="007C6A77" w:rsidRDefault="00BB2D2A" w:rsidP="00F25813">
      <w:pPr>
        <w:pStyle w:val="ECHRPara"/>
        <w:rPr>
          <w:snapToGrid w:val="0"/>
        </w:rPr>
      </w:pPr>
      <w:r w:rsidRPr="007C6A77">
        <w:fldChar w:fldCharType="begin"/>
      </w:r>
      <w:r w:rsidR="00F25813" w:rsidRPr="007C6A77">
        <w:instrText xml:space="preserve"> SEQ level0 \*arabic </w:instrText>
      </w:r>
      <w:r w:rsidRPr="007C6A77">
        <w:fldChar w:fldCharType="separate"/>
      </w:r>
      <w:r w:rsidR="00332D11">
        <w:rPr>
          <w:noProof/>
        </w:rPr>
        <w:t>224</w:t>
      </w:r>
      <w:r w:rsidRPr="007C6A77">
        <w:fldChar w:fldCharType="end"/>
      </w:r>
      <w:r w:rsidR="00F25813">
        <w:t>.  </w:t>
      </w:r>
      <w:r w:rsidR="00F25813">
        <w:rPr>
          <w:i/>
        </w:rPr>
        <w:t xml:space="preserve">Agache </w:t>
      </w:r>
      <w:r w:rsidR="002D3E40">
        <w:rPr>
          <w:i/>
        </w:rPr>
        <w:t xml:space="preserve">ve Diğerleri </w:t>
      </w:r>
      <w:r w:rsidR="00F25813">
        <w:rPr>
          <w:i/>
        </w:rPr>
        <w:t>/</w:t>
      </w:r>
      <w:r w:rsidR="002D3E40">
        <w:rPr>
          <w:i/>
        </w:rPr>
        <w:t xml:space="preserve"> </w:t>
      </w:r>
      <w:r w:rsidR="00F25813">
        <w:rPr>
          <w:i/>
        </w:rPr>
        <w:t xml:space="preserve">Romanya </w:t>
      </w:r>
      <w:r w:rsidR="00F25813">
        <w:t>davasında (</w:t>
      </w:r>
      <w:r w:rsidR="00964336">
        <w:t>No.</w:t>
      </w:r>
      <w:r w:rsidR="00F25813">
        <w:t xml:space="preserve"> 2712/02, 20 Ekim 2009), Mahkeme, 2. maddenin usul yönünden ihlalinin tespitinde, </w:t>
      </w:r>
      <w:r w:rsidR="00F25813">
        <w:rPr>
          <w:i/>
          <w:snapToGrid w:val="0"/>
        </w:rPr>
        <w:t>diğerlerinin yanı sıra</w:t>
      </w:r>
      <w:r w:rsidR="00F25813">
        <w:t xml:space="preserve">, Romen makamlarının, maktulün ölümüne yol açan saldırı için hükümlü kişilerden üçünün iadesini güvence altına almak için gerekli adımları atmadığını göz önüne almıştır (aynı yerde, § 83; bk., gerekli değişikliklerin yapılması koşulu ile </w:t>
      </w:r>
      <w:r w:rsidR="00F25813">
        <w:rPr>
          <w:i/>
        </w:rPr>
        <w:t>(mutatis mutandis)</w:t>
      </w:r>
      <w:r w:rsidR="00F25813">
        <w:t xml:space="preserve"> </w:t>
      </w:r>
      <w:r w:rsidR="00F25813">
        <w:rPr>
          <w:i/>
        </w:rPr>
        <w:t>Nasr ve Ghali</w:t>
      </w:r>
      <w:r w:rsidR="005709B6">
        <w:rPr>
          <w:i/>
        </w:rPr>
        <w:t xml:space="preserve"> </w:t>
      </w:r>
      <w:r w:rsidR="00F25813">
        <w:rPr>
          <w:i/>
        </w:rPr>
        <w:t>/</w:t>
      </w:r>
      <w:r w:rsidR="005709B6">
        <w:rPr>
          <w:i/>
        </w:rPr>
        <w:t xml:space="preserve"> </w:t>
      </w:r>
      <w:r w:rsidR="00F25813">
        <w:rPr>
          <w:i/>
        </w:rPr>
        <w:t>İtalya</w:t>
      </w:r>
      <w:r w:rsidR="00F25813">
        <w:t xml:space="preserve">, </w:t>
      </w:r>
      <w:r w:rsidR="00964336">
        <w:t>No.</w:t>
      </w:r>
      <w:r w:rsidR="00F25813">
        <w:t xml:space="preserve"> 44883/09, §§ 270-272, 23 Şubat 2016, 3. maddenin usul yönüne ilişkin ve ABD'den iade talep edilmemesi ile ilgili olarak).</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225</w:t>
      </w:r>
      <w:r w:rsidRPr="007C6A77">
        <w:fldChar w:fldCharType="end"/>
      </w:r>
      <w:r w:rsidR="00F25813">
        <w:t>.  </w:t>
      </w:r>
      <w:r w:rsidR="00F25813">
        <w:rPr>
          <w:i/>
        </w:rPr>
        <w:t>Rantsev</w:t>
      </w:r>
      <w:r w:rsidR="00F25813">
        <w:t xml:space="preserve"> davasında (yukarıda anılan), Mahkeme, 2. maddede belirtilen usul yükümlülüğünün, soruşturma yapan Devletin topraklarında bulunup bulunmadığına bakılmaksızın, Akit Devletlerin ilgili delilleri güvence altına almak için gerekli ve uygun adımları atmasını zorunlu kıldığını gözlemlemiştir. Kıbrıs’taki maktulün ölümle ilgili koşullarının soruşturulmasında Kıbrıs makamlarının, Rusya’da bulunan iki tanığın ifadesini almak için bir talepte bulunarak Rusya’dan adli yardım istemeleri gerektiğini tespit etmiştir. Kıbrıs ve Rusya’nın 1959 tarihli Ceza İşlerinde Karşılıklı Adli Yardım Avrupa Sözleşmesi’ne taraf olmalarını ve bunun yanında ikili bir adli yardım antlaşması imzalamalarını da dikkate almıştır. Diğerlerinin yanı sıra, Rusya'dan işbirliği talep edilmemesini dikkate alan Mahkeme, 2. maddenin Kıbrıs tarafından usul yönünden ihlal edildiğine karar vermiştir (aynı yerde, §§ 241-42). Mahkeme, soruşturma yapan bir Devletin diğer yargı yetki alanlarında bulunan delilleri güvenceye alma yükümlülüğünün sonucunun, adli yardım talebi kapsamında yetkisi ve yöntemleri dâhilinde istenen yardımı delilin bulunduğu Devletin sağlama görevi olduğuna karar vermiştir. Ancak, Mahkeme, Kıbrıs'tan herhangi bir talep gelmediği takdirde, başvuranlar tarafından talep edildiği gibi Rusya'nın kendi topraklarında bulunan iki tanıkla görüşme gibi bir yükümlülüğünün bulunmadığını değerlendirmiştir. Ayrıca, Rus makamlarının, ceza davasının açılması için özel bir talepte bulunmak da </w:t>
      </w:r>
      <w:r w:rsidR="007F3C38">
        <w:t>dâhil</w:t>
      </w:r>
      <w:r w:rsidR="00F25813">
        <w:t xml:space="preserve"> olmak üzere, Kıbrıs makamları tarafından harekete geçilmesi için karşılıklı adli yardım anlaşmalarıyla sunulan fırsatları kapsamlı bir şekilde kullandıklarını gözlemlemiştir. Mahkeme, Sözleşme’nin 2. maddesinin Rusya tarafından usul yönünden ihlal edilmediğine karar vermiştir (aynı yerde, §§ 245-47).</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226</w:t>
      </w:r>
      <w:r w:rsidRPr="007C6A77">
        <w:fldChar w:fldCharType="end"/>
      </w:r>
      <w:r w:rsidR="00F25813">
        <w:t>.  </w:t>
      </w:r>
      <w:r w:rsidR="00F25813">
        <w:rPr>
          <w:i/>
        </w:rPr>
        <w:t>Palic</w:t>
      </w:r>
      <w:r w:rsidR="006F5066">
        <w:rPr>
          <w:i/>
        </w:rPr>
        <w:t xml:space="preserve"> </w:t>
      </w:r>
      <w:r w:rsidR="00F25813">
        <w:rPr>
          <w:i/>
        </w:rPr>
        <w:t>/</w:t>
      </w:r>
      <w:r w:rsidR="00EA2899">
        <w:rPr>
          <w:i/>
        </w:rPr>
        <w:t xml:space="preserve"> </w:t>
      </w:r>
      <w:r w:rsidR="00F25813">
        <w:rPr>
          <w:i/>
        </w:rPr>
        <w:t>Bosna-Hersek</w:t>
      </w:r>
      <w:r w:rsidR="00F25813">
        <w:t>, (</w:t>
      </w:r>
      <w:r w:rsidR="00964336">
        <w:t>No.</w:t>
      </w:r>
      <w:r w:rsidR="00F25813">
        <w:t xml:space="preserve"> 4704/04, 15 Şubat 2011) ve </w:t>
      </w:r>
      <w:r w:rsidR="00F25813">
        <w:rPr>
          <w:i/>
        </w:rPr>
        <w:t>Njezic ve Stimac</w:t>
      </w:r>
      <w:r w:rsidR="00EA2899">
        <w:rPr>
          <w:i/>
        </w:rPr>
        <w:t xml:space="preserve"> </w:t>
      </w:r>
      <w:r w:rsidR="00F25813">
        <w:rPr>
          <w:i/>
        </w:rPr>
        <w:t>/</w:t>
      </w:r>
      <w:r w:rsidR="00EA2899">
        <w:rPr>
          <w:i/>
        </w:rPr>
        <w:t xml:space="preserve"> </w:t>
      </w:r>
      <w:r w:rsidR="00F25813">
        <w:rPr>
          <w:i/>
        </w:rPr>
        <w:t>Hırvatistan</w:t>
      </w:r>
      <w:r w:rsidR="00F25813">
        <w:t>, (</w:t>
      </w:r>
      <w:r w:rsidR="00964336">
        <w:t>No.</w:t>
      </w:r>
      <w:r w:rsidR="00F25813">
        <w:t xml:space="preserve"> 29823/13, 9 Nisan 2015) davalarında Mahkeme, her iki davalı Devletin, başvuranların yakınlarının ortadan kaybolması ve ölümüyle ilgili olarak 2. maddede belirtilen usul yükümlülüğünü yerine getirdiklerini tespit etmiştir. Mahkeme,</w:t>
      </w:r>
      <w:r w:rsidR="00F25813">
        <w:rPr>
          <w:i/>
        </w:rPr>
        <w:t xml:space="preserve"> Palić</w:t>
      </w:r>
      <w:r w:rsidR="00F25813">
        <w:t xml:space="preserve"> davasında yerel makamların uluslararası tutuklama müzekkereleri çıkardığını, ancak şüphelilerin Sırbistan'a taşınması ve Sırp vatandaşlarının iade edilememesi nedeniyle soruşturmanın o zamandan beri askıda olduğunu belirtmiştir. </w:t>
      </w:r>
      <w:r w:rsidR="00F25813">
        <w:rPr>
          <w:i/>
        </w:rPr>
        <w:t>Nježić ve Štimac</w:t>
      </w:r>
      <w:r w:rsidR="00F25813">
        <w:t xml:space="preserve"> davasında, hiçbir uluslararası tutuklama müzekkeresi çıkarılmadığı halde, Sırp vatandaşı olanların Sırbistan'dan iade edilememesinden dolayı, şüphelilerin çoğunluğunun iadesi mümkün olamayacaktı. Mahkeme, davalı Devletlerin (sırasıyla Bosna Hersek ve Hırvatistan) bu durumdan sorumlu tutulamayacağına karar vermiştir. Ayrıca, başvuranlar davalarını eski Yugoslavya'da herhangi bir yerde uluslararası insani hukukun ciddi şekilde ihlal edilmesi konusunda yargı yetkisi bulunan Sırp makamlarına iletmiş olabileceğinden dolayı, bu Devletlerin Sırbistan'dan dava açmasını istemekle yükümlü olup olmadığının belirlenmesi gerekmediğine karar vermiştir. Ayrıca, başvuranlar, Sözleşme haklarının Sırbistan tarafından ihlal edilmesinden dolayı mağdur olduklarını düşünselerdi, Sırbistan aleyhinde başvuruda bulunabilirlerdi (aynı yerde, §§ 65 ve 68).</w:t>
      </w:r>
    </w:p>
    <w:p w:rsidR="00F25813" w:rsidRPr="007C6A77" w:rsidRDefault="00BB2D2A" w:rsidP="00F25813">
      <w:pPr>
        <w:pStyle w:val="ECHRPara"/>
        <w:rPr>
          <w:rFonts w:eastAsiaTheme="majorEastAsia"/>
        </w:rPr>
      </w:pPr>
      <w:r w:rsidRPr="007C6A77">
        <w:fldChar w:fldCharType="begin"/>
      </w:r>
      <w:r w:rsidR="00F25813" w:rsidRPr="007C6A77">
        <w:instrText xml:space="preserve"> SEQ level0 \*arabic </w:instrText>
      </w:r>
      <w:r w:rsidRPr="007C6A77">
        <w:fldChar w:fldCharType="separate"/>
      </w:r>
      <w:r w:rsidR="00332D11">
        <w:rPr>
          <w:noProof/>
        </w:rPr>
        <w:t>227</w:t>
      </w:r>
      <w:r w:rsidRPr="007C6A77">
        <w:fldChar w:fldCharType="end"/>
      </w:r>
      <w:r w:rsidR="00F25813">
        <w:t>.  </w:t>
      </w:r>
      <w:r w:rsidR="00F25813">
        <w:rPr>
          <w:i/>
        </w:rPr>
        <w:t>Aliyeva ve Aliyev</w:t>
      </w:r>
      <w:r w:rsidR="00F25813">
        <w:t xml:space="preserve"> davasında (yukarıda anılan), Azerbaycan makamları, başvuranın Ukrayna'da oğlunun öldürülmesine ilişkin soruşturmayı, davanın her iki ülkenin de Taraf olduğu 1913 tarihli Bağımsız Devletler Topluluğu (BDT) Hukuk, Aile ve Ceza İşlerinde Adli Yardım ve Hukuki İlişkiler Hakkında Sözleşme (Minsk Sözleşmesi) kapsamında aktarılmasından sonra yürütmüştür. Mahkeme, diğerlerinin yanı sıra, davadan sorumlu soruşturmacının, soruşturma başladıktan bir yıl iki aydan fazla bir süre sonrasına kadar Ukrayna makamlarından adli yardım talep edilmediğini belirterek Azerbaycan tarafından 2. maddenin usul yönünden ihlal edildiğine karar vermiştir (aynı yerde, § 78). Ancak, bir suçun başka bir Devletin topraklarında işlendiği bu gibi bazı durumlarda, ceza soruşturmasının ilerlemesini durduracak belirli engellerin olabileceğini kabul etmiştir (aynı yerde, § 75).</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228</w:t>
      </w:r>
      <w:r w:rsidRPr="007C6A77">
        <w:fldChar w:fldCharType="end"/>
      </w:r>
      <w:r w:rsidR="00F25813">
        <w:t xml:space="preserve">. Yakın zamanda, </w:t>
      </w:r>
      <w:r w:rsidR="00F25813">
        <w:rPr>
          <w:i/>
        </w:rPr>
        <w:t>Huseynova</w:t>
      </w:r>
      <w:r w:rsidR="00F25813">
        <w:t xml:space="preserve"> davasında (yukarıda anılan), Azerbaycan makamları, başvuranın kocasının öldürülmesiyle ilgili olarak ceza davası açmıştı ve iki Gürcü vatandaşı şüpheli olarak tespit edilmişti. Gürcü makamları, kişilerin Gürcü uyruklu olmalarından dolayı yabancı bir ülkeye iade edilemedikleri gerekçesiyle iade etmeyi reddetmişti. Mahkeme, şüphelilerin iade edilmesini reddeden başka bir Devletin topraklarında bulunması gibi bazı durumlarda, ceza soruşturmasının ilerlemesini durduracak özel engellerin olabileceğini yinelemiş; Azerbaycan, başka bir Devletin vatandaşlarını iade etmeme kararından sorumlu tutulamamıştır  (aynı yerde, § 110). Bununla birlikte, iadenin reddedilmesinin, Azerbaycan makamlarının ceza davasını Gürcistan makamlarına aktarılması olanaklarını incelemesi için engel teşkil etmediği kararına varmıştır. Mahkeme, bu bağlamda, Suçluların İadesine dair Avrupa Sözleşmesi, 1993 Minsk Sözleşmesi ve her iki Devletin taraf olduğu ikili antlaşma gibi çeşitli uluslararası yasal belgelerin bu tür bir olanak için açıkça </w:t>
      </w:r>
      <w:r w:rsidR="00182BFF">
        <w:t>imkân</w:t>
      </w:r>
      <w:r w:rsidR="00F25813">
        <w:t xml:space="preserve"> sağladığını belirtmiştir. Ayrıca, Gürcü makamları, Azerbaycan makamlarının iade talebine verdiği cevapta bu olanağa açıkça değinmiştir. Bununla birlikte, Azerbaycan makamlarının, ceza davasını Gürcistan’a aktararak Gürcistan'daki cinayeti işlediği iddia edilen faillerini kovuşturma olanağını incelediğine dair hiçbir kanıt bulunmamaktaydı (aynı yerde, § 111). Mahkeme ayrıca, başvuranların davalarını, eski Yugoslavya'da herhangi bir yerde uluslararası insani hukukun ciddi şekilde ihlal edilmesi konusunda yargı yetkisi bulunan Sırp makamlarına kendilerinin iletmiş olabileceğini belirterek bu davayı </w:t>
      </w:r>
      <w:r w:rsidR="00F25813">
        <w:rPr>
          <w:i/>
        </w:rPr>
        <w:t>Nježić ve Štimac</w:t>
      </w:r>
      <w:r w:rsidR="00F25813">
        <w:t xml:space="preserve"> davası (yukarıda anılan) gibi, </w:t>
      </w:r>
      <w:r w:rsidR="00F25813">
        <w:rPr>
          <w:i/>
        </w:rPr>
        <w:t>Palić</w:t>
      </w:r>
      <w:r w:rsidR="00F25813">
        <w:t xml:space="preserve"> davasından da ayrı tutmuştur. </w:t>
      </w:r>
      <w:r w:rsidR="00F25813">
        <w:rPr>
          <w:i/>
        </w:rPr>
        <w:t>Huseynova</w:t>
      </w:r>
      <w:r w:rsidR="00F25813">
        <w:t xml:space="preserve"> davasında, başvuran, doğrudan Gürcü makamlarına başvurma imkânı bulamamıştır ve cinayeti işlediği iddia edilen failler, yalnızca ceza davasının aktarılmasını müteakip Azerbaycan makamlarının talebi üzerine Gürcistan'da yargılanabilmiştir. (aynı yerde, § 112) Mahkeme, Azerbaycan makamlarının bu davayı aktarmamasını, 2. maddenin usul yönünden ihlal edildiğine karar verilmesinin gerekçelerinden biri olarak kabul etmiştir.</w:t>
      </w:r>
    </w:p>
    <w:p w:rsidR="00F25813" w:rsidRPr="007C6A77" w:rsidRDefault="00F25813" w:rsidP="00F25813">
      <w:pPr>
        <w:pStyle w:val="ECHRHeading5"/>
        <w:outlineLvl w:val="5"/>
      </w:pPr>
      <w:r>
        <w:t>Akit Devletlerin uluslararası davalarda 2. maddenin usul yönünden işbirliği yapma yükümlülüğüne Mahkemenin yaklaşımı</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229</w:t>
      </w:r>
      <w:r w:rsidRPr="007C6A77">
        <w:fldChar w:fldCharType="end"/>
      </w:r>
      <w:r w:rsidR="00F25813">
        <w:t xml:space="preserve">.  Yukarıdaki içtihat araştırması, Mahkemenin bu zamana kadar uluslararası davalarda Devletler arasında işbirliği yapılmamasını veya işbirliği talebinde bulunulmamasını incelediği davaların çoğunda Mahkeme, ilgili Devletin 2. madde kapsamında soruşturmaya yönelik usul yükümlülüğüne tam olarak riayet etmesini değerlendirdiğini göstermektedir. Bu davalarda, işbirliğinin kovuşturmaların başka bir Devlete aktarılması olanağını gerektirdiği durumlar da </w:t>
      </w:r>
      <w:r w:rsidR="007F3C38">
        <w:t>dâhil</w:t>
      </w:r>
      <w:r w:rsidR="00F25813">
        <w:t xml:space="preserve"> olmak üzere (bk. </w:t>
      </w:r>
      <w:r w:rsidR="00F25813">
        <w:rPr>
          <w:i/>
        </w:rPr>
        <w:t>Huseynova</w:t>
      </w:r>
      <w:r w:rsidR="00F25813">
        <w:t>,</w:t>
      </w:r>
      <w:r w:rsidR="00F25813">
        <w:rPr>
          <w:i/>
        </w:rPr>
        <w:t xml:space="preserve"> </w:t>
      </w:r>
      <w:r w:rsidR="00F25813">
        <w:t xml:space="preserve">yukarıda anılan, § 111) genellikle bir Devletin başka bir Devletten işbirliği talebinde bulunmaması şeklindeki, Mahkemenin ilgili Devlet tarafından yürütülen soruşturmanın etkinliğini incelemesinde diğer taraflarının yanı sıra sadece bir yönüdür (örneğin, </w:t>
      </w:r>
      <w:r w:rsidR="00F25813">
        <w:rPr>
          <w:i/>
        </w:rPr>
        <w:t>Rantsev</w:t>
      </w:r>
      <w:r w:rsidR="00F25813">
        <w:t xml:space="preserve"> davasında Kıbrıs,</w:t>
      </w:r>
      <w:r w:rsidR="00F25813">
        <w:rPr>
          <w:i/>
        </w:rPr>
        <w:t xml:space="preserve"> </w:t>
      </w:r>
      <w:r w:rsidR="00F25813">
        <w:t xml:space="preserve">yukarıda anılan, § 241, ve </w:t>
      </w:r>
      <w:r w:rsidR="00F25813">
        <w:rPr>
          <w:i/>
        </w:rPr>
        <w:t>Aliyeva ve Aliyev</w:t>
      </w:r>
      <w:r w:rsidR="00F25813">
        <w:t xml:space="preserve"> davası, yukarıda anılan, § 78). Mahkeme, özellikle </w:t>
      </w:r>
      <w:r w:rsidR="00F25813">
        <w:rPr>
          <w:i/>
        </w:rPr>
        <w:t>O’Loughlin, Cummins ve Rantsev</w:t>
      </w:r>
      <w:r w:rsidR="00F25813">
        <w:t xml:space="preserve"> gibi çok az sayıda davada, başka bir Akit Devletin yargı yetkisi </w:t>
      </w:r>
      <w:r w:rsidR="007F3C38">
        <w:t>dâhil</w:t>
      </w:r>
      <w:r w:rsidR="00F25813">
        <w:t>inde yürütülen bir soruşturmada işbirliği yapmama veya yardımda bulunmama konusuna değinmiştir.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230</w:t>
      </w:r>
      <w:r w:rsidRPr="007C6A77">
        <w:fldChar w:fldCharType="end"/>
      </w:r>
      <w:r w:rsidR="00F25813">
        <w:t xml:space="preserve">.  Bir Akit Devletin 2. madde kapsamında soruşturma yapma konusunda bağımsız bir yükümlülüğü bulunmadığı </w:t>
      </w:r>
      <w:r w:rsidR="00F25813">
        <w:rPr>
          <w:i/>
        </w:rPr>
        <w:t xml:space="preserve">Rantsev </w:t>
      </w:r>
      <w:r w:rsidR="00F25813">
        <w:t>gibi bir davada, Mahkeme, bu Devletin işbirliği yapma yükümlülüğünün ancak, ilgili delil veya şüphelilerin diğer Devletin yargı yetkisine girmesi durumunda resen işbirliği talebinde bulunması gerekecek soruşturma yapan Devletin talebi ile oluşabilecektir.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231</w:t>
      </w:r>
      <w:r w:rsidRPr="007C6A77">
        <w:fldChar w:fldCharType="end"/>
      </w:r>
      <w:r w:rsidR="00F25813">
        <w:t>.  Buna karşılık, mevcut davada, ilgili iki Devlet, ölümü soruşturmak için eşzamanlı yargı yetkisi ve her ikisi ile ilgili ortaya çıkan 2. maddeye uygun bir soruşturma yürütmek için bağımsız yükümlülük talebinde bulu</w:t>
      </w:r>
      <w:r w:rsidR="00FE2D60">
        <w:t>n</w:t>
      </w:r>
      <w:r w:rsidR="00F25813">
        <w:t>muştur (bk. yukarıdaki 220-21. paragraflar).</w:t>
      </w:r>
    </w:p>
    <w:p w:rsidR="00F25813" w:rsidRPr="007C6A77" w:rsidRDefault="00BB2D2A" w:rsidP="00F25813">
      <w:pPr>
        <w:pStyle w:val="ECHRPara"/>
        <w:rPr>
          <w:snapToGrid w:val="0"/>
        </w:rPr>
      </w:pPr>
      <w:r w:rsidRPr="007C6A77">
        <w:fldChar w:fldCharType="begin"/>
      </w:r>
      <w:r w:rsidR="00F25813" w:rsidRPr="007C6A77">
        <w:instrText xml:space="preserve"> SEQ level0 \*arabic </w:instrText>
      </w:r>
      <w:r w:rsidRPr="007C6A77">
        <w:fldChar w:fldCharType="separate"/>
      </w:r>
      <w:r w:rsidR="00332D11">
        <w:rPr>
          <w:noProof/>
        </w:rPr>
        <w:t>232</w:t>
      </w:r>
      <w:r w:rsidRPr="007C6A77">
        <w:fldChar w:fldCharType="end"/>
      </w:r>
      <w:r w:rsidR="00F25813">
        <w:t xml:space="preserve">.  Mahkeme daha önce, Sözleşme yorumlanırken, Sözleşme’nin insan haklarının ve temel özgürlüklerin toplu uygulama antlaşması olarak sahip olduğu özel niteliğinin dikkate alınması gerektiğine karar vermiştir (bk. </w:t>
      </w:r>
      <w:r w:rsidR="00F25813">
        <w:rPr>
          <w:i/>
        </w:rPr>
        <w:t>İrlanda</w:t>
      </w:r>
      <w:r w:rsidR="00095626">
        <w:rPr>
          <w:i/>
        </w:rPr>
        <w:t xml:space="preserve"> </w:t>
      </w:r>
      <w:r w:rsidR="00F25813">
        <w:rPr>
          <w:i/>
        </w:rPr>
        <w:t>/</w:t>
      </w:r>
      <w:r w:rsidR="00095626">
        <w:rPr>
          <w:i/>
        </w:rPr>
        <w:t xml:space="preserve"> </w:t>
      </w:r>
      <w:r w:rsidR="00F25813">
        <w:rPr>
          <w:i/>
        </w:rPr>
        <w:t>Birleşik Krallık</w:t>
      </w:r>
      <w:r w:rsidR="00F25813">
        <w:t xml:space="preserve">, 18 Ocak 1978, § 239, Seri A </w:t>
      </w:r>
      <w:r w:rsidR="00964336">
        <w:t>No.</w:t>
      </w:r>
      <w:r w:rsidR="00F25813">
        <w:t xml:space="preserve"> 25, giriş kısmına atıfta bulunarak;  </w:t>
      </w:r>
      <w:r w:rsidR="00F25813">
        <w:rPr>
          <w:i/>
        </w:rPr>
        <w:t>Loizidou</w:t>
      </w:r>
      <w:r w:rsidR="00095626">
        <w:rPr>
          <w:i/>
        </w:rPr>
        <w:t xml:space="preserve"> </w:t>
      </w:r>
      <w:r w:rsidR="00F25813">
        <w:rPr>
          <w:i/>
        </w:rPr>
        <w:t>/</w:t>
      </w:r>
      <w:r w:rsidR="00095626">
        <w:rPr>
          <w:i/>
        </w:rPr>
        <w:t xml:space="preserve"> </w:t>
      </w:r>
      <w:r w:rsidR="00F25813">
        <w:rPr>
          <w:i/>
        </w:rPr>
        <w:t>Türkiye</w:t>
      </w:r>
      <w:r w:rsidR="00F25813">
        <w:t xml:space="preserve"> (ön itirazlar) yukarıda anılan, § 70; ve </w:t>
      </w:r>
      <w:r w:rsidR="00F25813">
        <w:rPr>
          <w:i/>
        </w:rPr>
        <w:t>Nada</w:t>
      </w:r>
      <w:r w:rsidR="00095626">
        <w:rPr>
          <w:i/>
        </w:rPr>
        <w:t xml:space="preserve"> </w:t>
      </w:r>
      <w:r w:rsidR="00F25813">
        <w:rPr>
          <w:i/>
        </w:rPr>
        <w:t>/</w:t>
      </w:r>
      <w:r w:rsidR="00095626">
        <w:rPr>
          <w:i/>
        </w:rPr>
        <w:t xml:space="preserve"> </w:t>
      </w:r>
      <w:r w:rsidR="00F25813">
        <w:rPr>
          <w:i/>
        </w:rPr>
        <w:t>İsviçre</w:t>
      </w:r>
      <w:r w:rsidR="00F25813">
        <w:t xml:space="preserve"> [BD], No</w:t>
      </w:r>
      <w:r w:rsidR="000566D1">
        <w:t>.</w:t>
      </w:r>
      <w:r w:rsidR="00F25813">
        <w:t xml:space="preserve"> 10593/08, § 196, AİHM 2012). Bu ortak nitelik, bazı özel durumlarda, Akit Devletlerin kendi yargı yetkileri içinde güvence altına almayı taahhüt ettikleri hak ve özgürlükleri korumak için ortak hareket etme ve işbirliği yapma görevini ifade edebilir (bk. örneğin, Sözleşme'nin 4. maddesi uyarınca sınır ötesi insan kaçakçılığı alanında,  </w:t>
      </w:r>
      <w:r w:rsidR="00F25813">
        <w:rPr>
          <w:i/>
          <w:snapToGrid w:val="0"/>
        </w:rPr>
        <w:t>Rantsev</w:t>
      </w:r>
      <w:r w:rsidR="00F25813">
        <w:t xml:space="preserve">, </w:t>
      </w:r>
      <w:r w:rsidR="00F25813">
        <w:rPr>
          <w:rStyle w:val="JuParaCar"/>
          <w:rFonts w:ascii="Times New Roman" w:hAnsi="Times New Roman"/>
          <w:snapToGrid w:val="0"/>
          <w:color w:val="000000" w:themeColor="text1"/>
        </w:rPr>
        <w:t>yukarıda anılan</w:t>
      </w:r>
      <w:r w:rsidR="00F25813">
        <w:t xml:space="preserve">, § 289). Bir Akit Devletin yargı yetki alanı içinde meydana gelen yasadışı öldürme ile ilgili etkin bir soruşturmaya birden fazla Akit Devletin </w:t>
      </w:r>
      <w:r w:rsidR="007F3C38">
        <w:t>dâhil</w:t>
      </w:r>
      <w:r w:rsidR="00F25813">
        <w:t xml:space="preserve"> edilmesi gereken durumlarda, Mahkeme, Sözleşme’nin toplu uygulama antlaşması olarak özel yapısının, ilke olarak ilgili Devletlere, öldürme koşullarını açıklamak ve failleri adalete teslim etmek amacıyla etkili bir şekilde işbirliği yapma yükümlülüğü getirdiğine karar vermektedir.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233</w:t>
      </w:r>
      <w:r w:rsidRPr="007C6A77">
        <w:fldChar w:fldCharType="end"/>
      </w:r>
      <w:r w:rsidR="00F25813">
        <w:t>.  Mahkeme, buna göre 2. maddenin her iki Devlete birbiriyle işbirliği yapma konusunda çift taraflı yükümlülük getirebileceğini ve bunun aynı zamanda yardım isteme ve yardım etme yükümlülüğünü kapsadığı görüşünü benimsemektedir. Bu yükümlülüklerin mahiyeti ve kapsamı kaçınılmaz olarak, belli başlı delillerin ilgili Akit Devletin topraklarında bulunup bulunmadığı veya şüphelilerin sözkonusu Devlete kaçıp kaçmadığı gibi her bir özel davanın koşullarına bağlı olacaktır.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234</w:t>
      </w:r>
      <w:r w:rsidRPr="007C6A77">
        <w:fldChar w:fldCharType="end"/>
      </w:r>
      <w:r w:rsidR="00F25813">
        <w:t xml:space="preserve">.  Bu görev, 2. maddenin güvence altına aldığı yaşam hakkının etkin bir şekilde korunması ile uyumludur. Esasen, farklı şekilde karar vermek, yasadışı cinayetlerle ilgili soruşturmaları engelleyecek ve sorumluların cezasız kalmasına yol açacağından dolayı, Devletin 1. madde kapsamındaki “kendi yargı yetkisi </w:t>
      </w:r>
      <w:r w:rsidR="007F3C38">
        <w:t>dâhil</w:t>
      </w:r>
      <w:r w:rsidR="00F25813">
        <w:t xml:space="preserve">indeki herkesin Sözleşme'de tanımlanan hak ve özgürlüklerinin güvence altına alınması” konusundaki genel görevi ile birlikte Devletin 2. maddesi kapsamındaki yaşam hakkını koruma konusundaki yükümlülüğü ile ters düşerdi. Bu tür bir sonuç, 2. madde kapsamındaki koruma amacını engelleyebilir ve bireyin yaşam hakkına ilişkin güvencelerini asılsız kılabilirdi. Birey olarak insanların korunması için bir araç olan Sözleşme’nin konu ve amacı, Sözleşme hükümlerinin, bu güvenceleri somut ve etkin kılacak tarzda, yorumlanmasını ve uygulanmasını gerektirmektedir. (bk. </w:t>
      </w:r>
      <w:r w:rsidR="00F25813">
        <w:rPr>
          <w:i/>
        </w:rPr>
        <w:t xml:space="preserve">Al-Skeini </w:t>
      </w:r>
      <w:r w:rsidR="00550988">
        <w:rPr>
          <w:i/>
        </w:rPr>
        <w:t>ve Diğerleri</w:t>
      </w:r>
      <w:r w:rsidR="00F25813">
        <w:t xml:space="preserve">, yukarıda anılan, § 162 ve </w:t>
      </w:r>
      <w:r w:rsidR="00F25813">
        <w:rPr>
          <w:i/>
        </w:rPr>
        <w:t>Marguš</w:t>
      </w:r>
      <w:r w:rsidR="00550988">
        <w:rPr>
          <w:i/>
        </w:rPr>
        <w:t xml:space="preserve"> </w:t>
      </w:r>
      <w:r w:rsidR="00F25813">
        <w:rPr>
          <w:i/>
        </w:rPr>
        <w:t>/</w:t>
      </w:r>
      <w:r w:rsidR="00550988">
        <w:rPr>
          <w:i/>
        </w:rPr>
        <w:t xml:space="preserve"> </w:t>
      </w:r>
      <w:r w:rsidR="00F25813">
        <w:rPr>
          <w:i/>
        </w:rPr>
        <w:t>Hırvatistan</w:t>
      </w:r>
      <w:r w:rsidR="00F25813">
        <w:t xml:space="preserve"> [BD], </w:t>
      </w:r>
      <w:r w:rsidR="00964336">
        <w:t>No.</w:t>
      </w:r>
      <w:r w:rsidR="00F25813">
        <w:t xml:space="preserve"> 4455/10, § 127, AİHM 2014 (özetler)).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235</w:t>
      </w:r>
      <w:r w:rsidRPr="007C6A77">
        <w:fldChar w:fldCharType="end"/>
      </w:r>
      <w:r w:rsidR="00F25813">
        <w:t>.  Bununla birlikte, 2. maddenin usul yönü kapsamına göre Devletlerin işbirliğin yükümlülüğü, Mahkemenin soruşturma yükümlülüğüne ile ilgili olarak belirlediklerine paralel olarak, sonuçlardan biri değil, sadece usul yükümlülüğü olabili</w:t>
      </w:r>
      <w:r w:rsidR="0029793B">
        <w:t>r</w:t>
      </w:r>
      <w:r w:rsidR="00F25813">
        <w:t xml:space="preserve"> (bk. </w:t>
      </w:r>
      <w:r w:rsidR="00F25813">
        <w:rPr>
          <w:i/>
          <w:snapToGrid w:val="0"/>
        </w:rPr>
        <w:t xml:space="preserve">Armani Da Silva </w:t>
      </w:r>
      <w:r w:rsidR="00F25813">
        <w:t xml:space="preserve">/ Birleşik Krallık [BD], </w:t>
      </w:r>
      <w:r w:rsidR="00964336">
        <w:t>No.</w:t>
      </w:r>
      <w:r w:rsidR="00F25813">
        <w:t xml:space="preserve"> 5878/08, § 233, 30 Mart 2016;  </w:t>
      </w:r>
      <w:r w:rsidR="00F25813">
        <w:rPr>
          <w:i/>
        </w:rPr>
        <w:t>Palić</w:t>
      </w:r>
      <w:r w:rsidR="00F25813">
        <w:t xml:space="preserve">, yukarıda anılan, § 65 ; </w:t>
      </w:r>
      <w:r w:rsidR="00F25813">
        <w:rPr>
          <w:i/>
        </w:rPr>
        <w:t>Aliyeva ve Aliyev</w:t>
      </w:r>
      <w:r w:rsidR="00F25813">
        <w:t xml:space="preserve">, yukarıda anılan, § 70). </w:t>
      </w:r>
      <w:r w:rsidR="001A6D97" w:rsidRPr="001A6D97">
        <w:t>Bu</w:t>
      </w:r>
      <w:r w:rsidR="001A6D97">
        <w:t xml:space="preserve"> durum</w:t>
      </w:r>
      <w:r w:rsidR="001A6D97" w:rsidRPr="001A6D97">
        <w:t>, ilgili Devletlerin, ceza</w:t>
      </w:r>
      <w:r w:rsidR="001A6D97">
        <w:t xml:space="preserve"> işlerinde</w:t>
      </w:r>
      <w:r w:rsidR="001A6D97" w:rsidRPr="001A6D97">
        <w:t xml:space="preserve"> karşılıklı adli yardım ve işbirliği</w:t>
      </w:r>
      <w:r w:rsidR="001A6D97">
        <w:t>ne ilişkin</w:t>
      </w:r>
      <w:r w:rsidR="001A6D97" w:rsidRPr="001A6D97">
        <w:t xml:space="preserve"> yürürlükteki uluslararası </w:t>
      </w:r>
      <w:r w:rsidR="001A6D97">
        <w:t>belgeler</w:t>
      </w:r>
      <w:r w:rsidR="001A6D97" w:rsidRPr="001A6D97">
        <w:t xml:space="preserve"> kapsamında kendilerine sun</w:t>
      </w:r>
      <w:r w:rsidR="001A6D97">
        <w:t>ulan</w:t>
      </w:r>
      <w:r w:rsidR="001A6D97" w:rsidRPr="001A6D97">
        <w:t xml:space="preserve"> </w:t>
      </w:r>
      <w:r w:rsidR="000A453F">
        <w:t>imkânları</w:t>
      </w:r>
      <w:r w:rsidR="001A6D97" w:rsidRPr="001A6D97">
        <w:t xml:space="preserve"> iyi niyetle tüket</w:t>
      </w:r>
      <w:r w:rsidR="001A6D97">
        <w:t>erek</w:t>
      </w:r>
      <w:r w:rsidR="001A6D97" w:rsidRPr="001A6D97">
        <w:t xml:space="preserve"> birbirleriyle işbirliği yapmak için </w:t>
      </w:r>
      <w:r w:rsidR="001A6D97">
        <w:t>tüm</w:t>
      </w:r>
      <w:r w:rsidR="001A6D97" w:rsidRPr="001A6D97">
        <w:t xml:space="preserve"> makul adımlar</w:t>
      </w:r>
      <w:r w:rsidR="001A6D97">
        <w:t>ı</w:t>
      </w:r>
      <w:r w:rsidR="001A6D97" w:rsidRPr="001A6D97">
        <w:t xml:space="preserve"> atmaları gerektiği anlamına gel</w:t>
      </w:r>
      <w:r w:rsidR="001A6D97">
        <w:t>mekted</w:t>
      </w:r>
      <w:r w:rsidR="001A6D97" w:rsidRPr="001A6D97">
        <w:t>ir.</w:t>
      </w:r>
      <w:r w:rsidR="001A6D97">
        <w:t xml:space="preserve"> </w:t>
      </w:r>
      <w:r w:rsidR="001A6D97" w:rsidRPr="001A6D97">
        <w:t>Bu bağlamda, M</w:t>
      </w:r>
      <w:r w:rsidR="001A6D97">
        <w:t>ahkeme</w:t>
      </w:r>
      <w:r w:rsidR="001A6D97" w:rsidRPr="001A6D97">
        <w:t xml:space="preserve">, Akit Devletlerin yasal bir boşlukta </w:t>
      </w:r>
      <w:r w:rsidR="00B94E4E" w:rsidRPr="001A6D97">
        <w:t xml:space="preserve">birbirleriyle </w:t>
      </w:r>
      <w:r w:rsidR="001A6D97" w:rsidRPr="001A6D97">
        <w:t>işbirliğ</w:t>
      </w:r>
      <w:r w:rsidR="001A6D97">
        <w:t>i yapamayacağının farkındadır; u</w:t>
      </w:r>
      <w:r w:rsidR="001A6D97" w:rsidRPr="001A6D97">
        <w:t>luslararası ceza hukukunda, Devletler arasında belirli resmi</w:t>
      </w:r>
      <w:r w:rsidR="001A6D97">
        <w:t>leştirilmiş</w:t>
      </w:r>
      <w:r w:rsidR="001A6D97" w:rsidRPr="001A6D97">
        <w:t xml:space="preserve"> </w:t>
      </w:r>
      <w:r w:rsidR="00B94E4E" w:rsidRPr="001A6D97">
        <w:t xml:space="preserve">işbirliği </w:t>
      </w:r>
      <w:r w:rsidR="001A6D97" w:rsidRPr="001A6D97">
        <w:t>yöntemler</w:t>
      </w:r>
      <w:r w:rsidR="00A73F91">
        <w:t>i</w:t>
      </w:r>
      <w:r w:rsidR="001A6D97" w:rsidRPr="001A6D97">
        <w:t xml:space="preserve"> geliştirilmiştir</w:t>
      </w:r>
      <w:r w:rsidR="00F25813">
        <w:t xml:space="preserve"> </w:t>
      </w:r>
      <w:r w:rsidR="004A7FDF" w:rsidRPr="004A7FDF">
        <w:t>Bu yaklaşım, M</w:t>
      </w:r>
      <w:r w:rsidR="004A7FDF">
        <w:t>ahkeme</w:t>
      </w:r>
      <w:r w:rsidR="004A7FDF" w:rsidRPr="004A7FDF">
        <w:t>nin</w:t>
      </w:r>
      <w:r w:rsidR="00345425">
        <w:t xml:space="preserve"> </w:t>
      </w:r>
      <w:r w:rsidR="003F0368" w:rsidRPr="004A7FDF">
        <w:t>2</w:t>
      </w:r>
      <w:r w:rsidR="003F0368">
        <w:t>.</w:t>
      </w:r>
      <w:r w:rsidR="003F0368" w:rsidRPr="004A7FDF">
        <w:t>, 3</w:t>
      </w:r>
      <w:r w:rsidR="003F0368">
        <w:t>.</w:t>
      </w:r>
      <w:r w:rsidR="003F0368" w:rsidRPr="004A7FDF">
        <w:t xml:space="preserve"> ve 4</w:t>
      </w:r>
      <w:r w:rsidR="003F0368">
        <w:t>.</w:t>
      </w:r>
      <w:r w:rsidR="003F0368" w:rsidRPr="004A7FDF">
        <w:t xml:space="preserve"> </w:t>
      </w:r>
      <w:r w:rsidR="003F0368">
        <w:t>m</w:t>
      </w:r>
      <w:r w:rsidR="003F0368" w:rsidRPr="004A7FDF">
        <w:t>addelerin usul</w:t>
      </w:r>
      <w:r w:rsidR="003F0368">
        <w:t xml:space="preserve"> yönü kapsamında </w:t>
      </w:r>
      <w:r w:rsidR="00345425">
        <w:t xml:space="preserve">ilgili Devletler üzerinde bağlayıcılığı bulunan </w:t>
      </w:r>
      <w:r w:rsidR="004A7FDF" w:rsidRPr="004A7FDF">
        <w:t xml:space="preserve">mevcut </w:t>
      </w:r>
      <w:r w:rsidR="00345425">
        <w:t xml:space="preserve">suçlu </w:t>
      </w:r>
      <w:r w:rsidR="004A7FDF" w:rsidRPr="004A7FDF">
        <w:t xml:space="preserve">iadesi ve diğer karşılıklı yardım </w:t>
      </w:r>
      <w:r w:rsidR="00345425">
        <w:t>belgelerine</w:t>
      </w:r>
      <w:r w:rsidR="004A7FDF" w:rsidRPr="004A7FDF">
        <w:t xml:space="preserve"> </w:t>
      </w:r>
      <w:r w:rsidR="00996DCE">
        <w:t>genellikle</w:t>
      </w:r>
      <w:r w:rsidR="00996DCE" w:rsidRPr="004A7FDF">
        <w:t xml:space="preserve"> </w:t>
      </w:r>
      <w:r w:rsidR="004A7FDF" w:rsidRPr="004A7FDF">
        <w:t xml:space="preserve">atıfta bulunduğu </w:t>
      </w:r>
      <w:r w:rsidR="003F0368">
        <w:t>eski</w:t>
      </w:r>
      <w:r w:rsidR="001606A2">
        <w:t xml:space="preserve">i </w:t>
      </w:r>
      <w:r w:rsidR="004A7FDF" w:rsidRPr="004A7FDF">
        <w:t>uluslar</w:t>
      </w:r>
      <w:r w:rsidR="001606A2">
        <w:t xml:space="preserve"> ötesi</w:t>
      </w:r>
      <w:r w:rsidR="004A7FDF" w:rsidRPr="004A7FDF">
        <w:t xml:space="preserve"> davalarla tutarlıdır.</w:t>
      </w:r>
      <w:r w:rsidR="00F25813">
        <w:t xml:space="preserve"> (</w:t>
      </w:r>
      <w:r w:rsidR="00015316">
        <w:t>bk.</w:t>
      </w:r>
      <w:r w:rsidR="00F25813">
        <w:t xml:space="preserve"> </w:t>
      </w:r>
      <w:r w:rsidR="00F25813">
        <w:rPr>
          <w:i/>
        </w:rPr>
        <w:t xml:space="preserve">Rantsev, </w:t>
      </w:r>
      <w:r w:rsidR="00015316">
        <w:t>yukarıda anılan</w:t>
      </w:r>
      <w:r w:rsidR="00F25813">
        <w:t xml:space="preserve">, §§ 241, 246 </w:t>
      </w:r>
      <w:r w:rsidR="00015316">
        <w:t>ve</w:t>
      </w:r>
      <w:r w:rsidR="00F25813">
        <w:t xml:space="preserve"> 307; </w:t>
      </w:r>
      <w:r w:rsidR="00F25813">
        <w:rPr>
          <w:i/>
        </w:rPr>
        <w:t xml:space="preserve">Agache </w:t>
      </w:r>
      <w:r w:rsidR="00015316">
        <w:rPr>
          <w:i/>
        </w:rPr>
        <w:t>ve Diğerleri</w:t>
      </w:r>
      <w:r w:rsidR="00F25813">
        <w:rPr>
          <w:i/>
        </w:rPr>
        <w:t xml:space="preserve">, </w:t>
      </w:r>
      <w:r w:rsidR="00015316">
        <w:t>yukarıda anılan</w:t>
      </w:r>
      <w:r w:rsidR="00F25813">
        <w:t xml:space="preserve">, § 83; </w:t>
      </w:r>
      <w:r w:rsidR="00F25813">
        <w:rPr>
          <w:i/>
        </w:rPr>
        <w:t xml:space="preserve">Nasr </w:t>
      </w:r>
      <w:r w:rsidR="00015316">
        <w:rPr>
          <w:i/>
        </w:rPr>
        <w:t>ve</w:t>
      </w:r>
      <w:r w:rsidR="00F25813">
        <w:rPr>
          <w:i/>
        </w:rPr>
        <w:t xml:space="preserve"> Ghali</w:t>
      </w:r>
      <w:r w:rsidR="00F25813">
        <w:t xml:space="preserve">, </w:t>
      </w:r>
      <w:r w:rsidR="00015316">
        <w:t>yukarıda anılan</w:t>
      </w:r>
      <w:r w:rsidR="00F25813">
        <w:t xml:space="preserve">, § 272; </w:t>
      </w:r>
      <w:r w:rsidR="00015316">
        <w:t>ve</w:t>
      </w:r>
      <w:r w:rsidR="00F25813">
        <w:t xml:space="preserve"> </w:t>
      </w:r>
      <w:r w:rsidR="00F25813">
        <w:rPr>
          <w:i/>
        </w:rPr>
        <w:t xml:space="preserve">Huseynova, </w:t>
      </w:r>
      <w:r w:rsidR="00015316">
        <w:t>yukarıda anılan</w:t>
      </w:r>
      <w:r w:rsidR="00F25813">
        <w:t xml:space="preserve">, § 111). </w:t>
      </w:r>
      <w:r w:rsidR="00026F92" w:rsidRPr="00026F92">
        <w:t>Mahkeme, uluslararası an</w:t>
      </w:r>
      <w:r w:rsidR="00026F92">
        <w:t>t</w:t>
      </w:r>
      <w:r w:rsidR="00026F92" w:rsidRPr="00026F92">
        <w:t xml:space="preserve">laşmalara </w:t>
      </w:r>
      <w:r w:rsidR="00026F92">
        <w:t xml:space="preserve">veya </w:t>
      </w:r>
      <w:r w:rsidR="00026F92" w:rsidRPr="00026F92">
        <w:t xml:space="preserve">Sözleşme dışındaki </w:t>
      </w:r>
      <w:r w:rsidR="00026F92">
        <w:t xml:space="preserve">yükümlülüklere </w:t>
      </w:r>
      <w:r w:rsidR="00026F92" w:rsidRPr="00026F92">
        <w:t>saygı</w:t>
      </w:r>
      <w:r w:rsidR="00026F92">
        <w:t>yı</w:t>
      </w:r>
      <w:r w:rsidR="00026F92" w:rsidRPr="00026F92">
        <w:t xml:space="preserve"> denetleme konusunda yetkili olma</w:t>
      </w:r>
      <w:r w:rsidR="00026F92">
        <w:t>masına rağmen</w:t>
      </w:r>
      <w:r w:rsidR="00026F92" w:rsidRPr="00026F92">
        <w:t xml:space="preserve"> </w:t>
      </w:r>
      <w:r w:rsidR="00F25813">
        <w:t>(</w:t>
      </w:r>
      <w:r w:rsidR="00AE47FB">
        <w:t>bk.</w:t>
      </w:r>
      <w:r w:rsidR="00F25813">
        <w:t xml:space="preserve"> </w:t>
      </w:r>
      <w:r w:rsidR="00F25813">
        <w:rPr>
          <w:i/>
        </w:rPr>
        <w:t xml:space="preserve">Aliyeva </w:t>
      </w:r>
      <w:r w:rsidR="00AE47FB">
        <w:rPr>
          <w:i/>
        </w:rPr>
        <w:t>ve</w:t>
      </w:r>
      <w:r w:rsidR="00F25813">
        <w:rPr>
          <w:i/>
        </w:rPr>
        <w:t xml:space="preserve"> Aliyev, </w:t>
      </w:r>
      <w:r w:rsidR="00AE47FB">
        <w:t>yukarıda anılan</w:t>
      </w:r>
      <w:r w:rsidR="00F25813">
        <w:t xml:space="preserve">, § 74), </w:t>
      </w:r>
      <w:r w:rsidR="00026F92" w:rsidRPr="00026F92">
        <w:t>bu bağlamda,</w:t>
      </w:r>
      <w:r w:rsidR="00026F92">
        <w:t xml:space="preserve"> genellikle</w:t>
      </w:r>
      <w:r w:rsidR="00026F92" w:rsidRPr="00026F92">
        <w:t xml:space="preserve"> davalı Devletin bu </w:t>
      </w:r>
      <w:r w:rsidR="00026F92">
        <w:t>belgeler</w:t>
      </w:r>
      <w:r w:rsidR="00026F92" w:rsidRPr="00026F92">
        <w:t xml:space="preserve"> kapsamında mevcut olanakları kullanıp kullanmadığını </w:t>
      </w:r>
      <w:r w:rsidR="00026F92">
        <w:t>tahkik etmektedir</w:t>
      </w:r>
      <w:r w:rsidR="00F25813">
        <w:t xml:space="preserve">. </w:t>
      </w:r>
      <w:r w:rsidR="004977F4" w:rsidRPr="004977F4">
        <w:t>Mahkeme, bu bağlamda, Akit Taraflar arasında</w:t>
      </w:r>
      <w:r w:rsidR="006B76F0">
        <w:t xml:space="preserve"> </w:t>
      </w:r>
      <w:r w:rsidR="004977F4" w:rsidRPr="004977F4">
        <w:t xml:space="preserve">ilişkilerde </w:t>
      </w:r>
      <w:r w:rsidR="006B76F0">
        <w:t>yürürlükteki</w:t>
      </w:r>
      <w:r w:rsidR="006B76F0" w:rsidRPr="004977F4">
        <w:t xml:space="preserve"> </w:t>
      </w:r>
      <w:r w:rsidR="004977F4" w:rsidRPr="004977F4">
        <w:t>uluslararası hukukun ilgili kurallarını ve ilkelerini göz önünde bulundurması gerektiğini ve Sözleşme</w:t>
      </w:r>
      <w:r w:rsidR="006B76F0">
        <w:t>’</w:t>
      </w:r>
      <w:r w:rsidR="004977F4" w:rsidRPr="004977F4">
        <w:t>nin</w:t>
      </w:r>
      <w:r w:rsidR="006B76F0">
        <w:t>,</w:t>
      </w:r>
      <w:r w:rsidR="004977F4" w:rsidRPr="004977F4">
        <w:t xml:space="preserve"> mümkün olduğu kadar</w:t>
      </w:r>
      <w:r w:rsidR="006B76F0">
        <w:t>,</w:t>
      </w:r>
      <w:r w:rsidR="004977F4" w:rsidRPr="004977F4">
        <w:t xml:space="preserve"> </w:t>
      </w:r>
      <w:r w:rsidR="006B76F0">
        <w:t xml:space="preserve">bir parçasını oluşturduğu </w:t>
      </w:r>
      <w:r w:rsidR="004977F4" w:rsidRPr="004977F4">
        <w:t xml:space="preserve">uluslararası hukuk kurallarına uygun olarak yorumlanması gerektiğini yinelemektedir. </w:t>
      </w:r>
      <w:r w:rsidR="00F25813">
        <w:t>(</w:t>
      </w:r>
      <w:r w:rsidR="004977F4">
        <w:t>bk.</w:t>
      </w:r>
      <w:r w:rsidR="00F25813">
        <w:t xml:space="preserve"> </w:t>
      </w:r>
      <w:r w:rsidR="00F25813">
        <w:rPr>
          <w:i/>
        </w:rPr>
        <w:t xml:space="preserve">Al-Adsani, </w:t>
      </w:r>
      <w:r w:rsidR="004977F4">
        <w:t>yukarıda anılan,</w:t>
      </w:r>
      <w:r w:rsidR="00F25813">
        <w:t xml:space="preserve">, § 55; </w:t>
      </w:r>
      <w:r w:rsidR="00F25813">
        <w:rPr>
          <w:i/>
        </w:rPr>
        <w:t xml:space="preserve">Demir </w:t>
      </w:r>
      <w:r w:rsidR="004977F4">
        <w:rPr>
          <w:i/>
        </w:rPr>
        <w:t>ve</w:t>
      </w:r>
      <w:r w:rsidR="00F25813">
        <w:rPr>
          <w:i/>
        </w:rPr>
        <w:t xml:space="preserve"> Baykara </w:t>
      </w:r>
      <w:r w:rsidR="004977F4">
        <w:rPr>
          <w:i/>
        </w:rPr>
        <w:t>/</w:t>
      </w:r>
      <w:r w:rsidR="00F25813">
        <w:rPr>
          <w:i/>
        </w:rPr>
        <w:t>. T</w:t>
      </w:r>
      <w:r w:rsidR="004977F4">
        <w:rPr>
          <w:i/>
        </w:rPr>
        <w:t>ürkiye</w:t>
      </w:r>
      <w:r w:rsidR="00F25813">
        <w:t xml:space="preserve"> [</w:t>
      </w:r>
      <w:r w:rsidR="004977F4">
        <w:t>BD</w:t>
      </w:r>
      <w:r w:rsidR="00F25813">
        <w:t xml:space="preserve">], </w:t>
      </w:r>
      <w:r w:rsidR="00964336">
        <w:t>No.</w:t>
      </w:r>
      <w:r w:rsidR="00F25813">
        <w:t xml:space="preserve"> 34503/97, § 67, </w:t>
      </w:r>
      <w:r w:rsidR="004977F4">
        <w:t>AİHM</w:t>
      </w:r>
      <w:r w:rsidR="00F25813">
        <w:t xml:space="preserve"> 2008; </w:t>
      </w:r>
      <w:r w:rsidR="004977F4">
        <w:t xml:space="preserve">ve </w:t>
      </w:r>
      <w:r w:rsidR="004977F4" w:rsidRPr="004977F4">
        <w:t>23 Mayıs 1969 tarihli Viyana Antlaşmalar Hukuku Sözleşmesi</w:t>
      </w:r>
      <w:r w:rsidR="004977F4">
        <w:t xml:space="preserve"> Madde</w:t>
      </w:r>
      <w:r w:rsidR="004977F4" w:rsidRPr="004977F4">
        <w:t xml:space="preserve"> 31 § 3 (c)</w:t>
      </w:r>
      <w:r w:rsidR="00F25813">
        <w:t>).</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236</w:t>
      </w:r>
      <w:r w:rsidRPr="007C6A77">
        <w:fldChar w:fldCharType="end"/>
      </w:r>
      <w:r w:rsidR="00F25813">
        <w:t>.  </w:t>
      </w:r>
      <w:r w:rsidR="00477773" w:rsidRPr="00477773">
        <w:t xml:space="preserve">Mahkeme, </w:t>
      </w:r>
      <w:r w:rsidR="00477773">
        <w:t>i</w:t>
      </w:r>
      <w:r w:rsidR="00477773" w:rsidRPr="00477773">
        <w:t xml:space="preserve">lgili Devletin, ceza </w:t>
      </w:r>
      <w:r w:rsidR="00477773">
        <w:t>işlerinde</w:t>
      </w:r>
      <w:r w:rsidR="00477773" w:rsidRPr="00477773">
        <w:t xml:space="preserve"> işbirliği konusundaki uluslararası belgeler kapsamında </w:t>
      </w:r>
      <w:r w:rsidR="00477773">
        <w:t>sunulan</w:t>
      </w:r>
      <w:r w:rsidR="00477773" w:rsidRPr="00477773">
        <w:t xml:space="preserve"> tüm yasal olanakları kullanıp kullanmadığını tespit</w:t>
      </w:r>
      <w:r w:rsidR="00477773">
        <w:t xml:space="preserve"> ederken</w:t>
      </w:r>
      <w:r w:rsidR="00477773" w:rsidRPr="00477773">
        <w:t>, bu an</w:t>
      </w:r>
      <w:r w:rsidR="00477773">
        <w:t>t</w:t>
      </w:r>
      <w:r w:rsidR="00477773" w:rsidRPr="00477773">
        <w:t xml:space="preserve">laşmalar </w:t>
      </w:r>
      <w:r w:rsidR="00477773">
        <w:t>talep edilen Devlete takdir yetkisi tanıdığı ve talep edilen işbirliğine ilişkin zorunlu ve/veya takdire bağlı reddetme gerekçeleri şeklinde birtakım istisnalar öngördüğü için bunların Devletlere mutlak yükümlülük getirmediğini gözden kaçıramaz.</w:t>
      </w:r>
      <w:r w:rsidR="005552D2">
        <w:t xml:space="preserve"> </w:t>
      </w:r>
      <w:r w:rsidR="00D63F61">
        <w:t>Bu nedenle, 2. madde kapsamındaki iş</w:t>
      </w:r>
      <w:r w:rsidR="00D63F61" w:rsidRPr="00D63F61">
        <w:t>birliğine ilişkin usul yükümlülü</w:t>
      </w:r>
      <w:r w:rsidR="00D63F61">
        <w:t>ğü</w:t>
      </w:r>
      <w:r w:rsidR="00D63F61" w:rsidRPr="00D63F61">
        <w:t>, Sözleşme</w:t>
      </w:r>
      <w:r w:rsidR="00D63F61">
        <w:t>’</w:t>
      </w:r>
      <w:r w:rsidR="00D63F61" w:rsidRPr="00D63F61">
        <w:t xml:space="preserve">nin ve </w:t>
      </w:r>
      <w:r w:rsidR="00D63F61">
        <w:t xml:space="preserve">bu belgelerin mümkün olduğunca, Akit Devletler arasında  çatışma veya itiraza mahal vermeyecek şekilde </w:t>
      </w:r>
      <w:r w:rsidR="00D63F61" w:rsidRPr="00D63F61">
        <w:t>birleştiril</w:t>
      </w:r>
      <w:r w:rsidR="00D63F61">
        <w:t>ip</w:t>
      </w:r>
      <w:r w:rsidR="00D63F61" w:rsidRPr="00D63F61">
        <w:t xml:space="preserve"> uyumlu bir şekilde uygulanmasının ardından</w:t>
      </w:r>
      <w:r w:rsidR="00D63F61">
        <w:t>, ilgili Akit Devletler arasında yürürlükteki</w:t>
      </w:r>
      <w:r w:rsidR="00D63F61" w:rsidRPr="00D63F61">
        <w:t xml:space="preserve"> uluslararası an</w:t>
      </w:r>
      <w:r w:rsidR="00D63F61">
        <w:t>t</w:t>
      </w:r>
      <w:r w:rsidR="00D63F61" w:rsidRPr="00D63F61">
        <w:t xml:space="preserve">laşmalar veya </w:t>
      </w:r>
      <w:r w:rsidR="00D63F61">
        <w:t>anlaşmalar</w:t>
      </w:r>
      <w:r w:rsidR="00D63F61" w:rsidRPr="00D63F61">
        <w:t xml:space="preserve"> ışığında yorumlanmalıdır</w:t>
      </w:r>
      <w:r w:rsidR="00D63F61">
        <w:t xml:space="preserve"> </w:t>
      </w:r>
      <w:r w:rsidR="00F25813">
        <w:t>(</w:t>
      </w:r>
      <w:r w:rsidR="00D63F61">
        <w:t>bk.</w:t>
      </w:r>
      <w:r w:rsidR="00F25813">
        <w:t>,</w:t>
      </w:r>
      <w:r w:rsidR="00D63F61">
        <w:t xml:space="preserve"> gerekli değişikliklerin yapılması koşuluyla</w:t>
      </w:r>
      <w:r w:rsidR="00F25813">
        <w:t xml:space="preserve"> </w:t>
      </w:r>
      <w:r w:rsidR="00D63F61">
        <w:rPr>
          <w:i/>
        </w:rPr>
        <w:t>(</w:t>
      </w:r>
      <w:r w:rsidR="00F25813">
        <w:rPr>
          <w:i/>
        </w:rPr>
        <w:t>mutatis mutandis</w:t>
      </w:r>
      <w:r w:rsidR="00D63F61">
        <w:rPr>
          <w:i/>
        </w:rPr>
        <w:t>)</w:t>
      </w:r>
      <w:r w:rsidR="00F25813">
        <w:rPr>
          <w:i/>
        </w:rPr>
        <w:t xml:space="preserve">, X </w:t>
      </w:r>
      <w:r w:rsidR="00D63F61">
        <w:rPr>
          <w:i/>
        </w:rPr>
        <w:t>/</w:t>
      </w:r>
      <w:r w:rsidR="00F25813">
        <w:rPr>
          <w:i/>
        </w:rPr>
        <w:t xml:space="preserve"> L</w:t>
      </w:r>
      <w:r w:rsidR="00D63F61">
        <w:rPr>
          <w:i/>
        </w:rPr>
        <w:t>etonya</w:t>
      </w:r>
      <w:r w:rsidR="00F25813">
        <w:rPr>
          <w:i/>
        </w:rPr>
        <w:t xml:space="preserve"> </w:t>
      </w:r>
      <w:r w:rsidR="00F25813">
        <w:t>[</w:t>
      </w:r>
      <w:r w:rsidR="00D63F61">
        <w:t>BD</w:t>
      </w:r>
      <w:r w:rsidR="00F25813">
        <w:t xml:space="preserve">], </w:t>
      </w:r>
      <w:r w:rsidR="00964336">
        <w:t>No.</w:t>
      </w:r>
      <w:r w:rsidR="00F25813">
        <w:t xml:space="preserve"> 27853/09, § 94, </w:t>
      </w:r>
      <w:r w:rsidR="00D63F61">
        <w:t>AİHM</w:t>
      </w:r>
      <w:r w:rsidR="00F25813">
        <w:t xml:space="preserve"> 2013, </w:t>
      </w:r>
      <w:r w:rsidR="00D63F61">
        <w:t>Sözleşme’</w:t>
      </w:r>
      <w:r w:rsidR="00D63F61" w:rsidRPr="00D63F61">
        <w:t xml:space="preserve">nin 8. </w:t>
      </w:r>
      <w:r w:rsidR="00D63F61">
        <w:t>m</w:t>
      </w:r>
      <w:r w:rsidR="00D63F61" w:rsidRPr="00D63F61">
        <w:t>addesinin</w:t>
      </w:r>
      <w:r w:rsidR="00D63F61">
        <w:t xml:space="preserve"> ve</w:t>
      </w:r>
      <w:r w:rsidR="00D63F61" w:rsidRPr="00D63F61">
        <w:t xml:space="preserve"> 25 Ekim 1980 tarihli Uluslararası Çocuk Kaçırmanın </w:t>
      </w:r>
      <w:r w:rsidR="00D63F61">
        <w:t>Hukuki</w:t>
      </w:r>
      <w:r w:rsidR="00D63F61" w:rsidRPr="00D63F61">
        <w:t xml:space="preserve"> Yönleri</w:t>
      </w:r>
      <w:r w:rsidR="00D63F61">
        <w:t>ne Dair</w:t>
      </w:r>
      <w:r w:rsidR="00D63F61" w:rsidRPr="00D63F61">
        <w:t xml:space="preserve"> Lahey Sözleşmesi</w:t>
      </w:r>
      <w:r w:rsidR="00D63F61">
        <w:t>’</w:t>
      </w:r>
      <w:r w:rsidR="00D63F61" w:rsidRPr="00D63F61">
        <w:t>nin yorumlanmasına ilişkin</w:t>
      </w:r>
      <w:r w:rsidR="00F25813">
        <w:t xml:space="preserve">). </w:t>
      </w:r>
      <w:r w:rsidR="004D1F7F" w:rsidRPr="004D1F7F">
        <w:t>Bu bağlamda, işbirliği</w:t>
      </w:r>
      <w:r w:rsidR="004D1F7F">
        <w:t>ne ilişkin usul</w:t>
      </w:r>
      <w:r w:rsidR="004D1F7F" w:rsidRPr="004D1F7F">
        <w:t xml:space="preserve"> yükümlülüğü ancak</w:t>
      </w:r>
      <w:r w:rsidR="004D1F7F">
        <w:t>, işbirliği talep etmesi gereken Devletin</w:t>
      </w:r>
      <w:r w:rsidR="004D1F7F" w:rsidRPr="004D1F7F">
        <w:t xml:space="preserve"> ilgili uluslararası an</w:t>
      </w:r>
      <w:r w:rsidR="004D1F7F">
        <w:t>t</w:t>
      </w:r>
      <w:r w:rsidR="004D1F7F" w:rsidRPr="004D1F7F">
        <w:t xml:space="preserve">laşmalar çerçevesinde işbirliği için uygun mekanizmaları </w:t>
      </w:r>
      <w:r w:rsidR="004D1F7F">
        <w:t>harekete geçirememesi</w:t>
      </w:r>
      <w:r w:rsidR="004D1F7F" w:rsidRPr="004D1F7F">
        <w:t xml:space="preserve"> durumunda, ve talep edilen Devlet</w:t>
      </w:r>
      <w:r w:rsidR="004D1F7F">
        <w:t>in ise</w:t>
      </w:r>
      <w:r w:rsidR="004D1F7F" w:rsidRPr="004D1F7F">
        <w:t xml:space="preserve"> </w:t>
      </w:r>
      <w:r w:rsidR="004D1F7F">
        <w:t xml:space="preserve">talep edilen işbirliğine uygun bir yanıt verememesi veya reddine ilişkin sözkonusu belgeler kapsamında meşru bir gerekçe gösterememesi durumunda, </w:t>
      </w:r>
      <w:r w:rsidR="004D1F7F" w:rsidRPr="004D1F7F">
        <w:t>i</w:t>
      </w:r>
      <w:r w:rsidR="004D1F7F">
        <w:t xml:space="preserve">hlal edilmiş olacaktır. </w:t>
      </w:r>
    </w:p>
    <w:p w:rsidR="00F25813" w:rsidRPr="007C6A77" w:rsidRDefault="00F25813" w:rsidP="00F25813">
      <w:pPr>
        <w:pStyle w:val="ECHRHeading5"/>
        <w:outlineLvl w:val="5"/>
      </w:pPr>
      <w:r>
        <w:t>(iii)  </w:t>
      </w:r>
      <w:r w:rsidR="006A1E35" w:rsidRPr="006A1E35">
        <w:t>Bir Akit Devlet ve başka bir Akit Devletin etkin kontrolü altında</w:t>
      </w:r>
      <w:r w:rsidR="006A1E35">
        <w:t>ki</w:t>
      </w:r>
      <w:r w:rsidR="006A1E35" w:rsidRPr="006A1E35">
        <w:t xml:space="preserve"> </w:t>
      </w:r>
      <w:r w:rsidR="006A1E35">
        <w:t xml:space="preserve">de facto </w:t>
      </w:r>
      <w:r w:rsidR="006A1E35" w:rsidRPr="006A1E35">
        <w:t>bir</w:t>
      </w:r>
      <w:r w:rsidR="006A1E35">
        <w:t xml:space="preserve"> oluşum arasında olan</w:t>
      </w:r>
      <w:r w:rsidR="006A1E35" w:rsidRPr="006A1E35">
        <w:t xml:space="preserve"> uluslar</w:t>
      </w:r>
      <w:r w:rsidR="006A1E35">
        <w:t xml:space="preserve"> ötesi davalarda</w:t>
      </w:r>
      <w:r w:rsidR="006A1E35" w:rsidRPr="006A1E35">
        <w:t xml:space="preserve"> işbirliği yapma </w:t>
      </w:r>
      <w:r w:rsidR="006A1E35">
        <w:t>yükümlülüğü</w:t>
      </w:r>
      <w:r w:rsidR="006A1E35" w:rsidRPr="006A1E35">
        <w:t xml:space="preserve"> </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237</w:t>
      </w:r>
      <w:r w:rsidRPr="007C6A77">
        <w:fldChar w:fldCharType="end"/>
      </w:r>
      <w:r w:rsidR="00F25813">
        <w:t xml:space="preserve">.  Mahkemenin yukarıda belirttiği gibi (bk. yukarıdaki 193. paragraf), bu davanın </w:t>
      </w:r>
      <w:r w:rsidR="00C759DE">
        <w:t>belirli</w:t>
      </w:r>
      <w:r w:rsidR="00F25813">
        <w:t xml:space="preserve"> özelliği; iddia edilen işbirliği eksikliğinin Sözleşme’nin amaçları doğrultusunda Kıbrıs’ın uluslararası düzeyde tanınan ancak Türkiye’nin etkin kontrolü altında bulunan topraklarda kurulan de facto bir oluşumu içermesidir (bk. </w:t>
      </w:r>
      <w:r w:rsidR="00F25813">
        <w:rPr>
          <w:i/>
        </w:rPr>
        <w:t>Kıbrıs / Türkiye</w:t>
      </w:r>
      <w:r w:rsidR="00F25813">
        <w:t xml:space="preserve">, yukarıda anılan, 61 ve 77. paragraflar). İki davalı Devlet arasında resmi diplomatik ilişki olmadığı için, her iki Devletin taraf olduğu uluslararası antlaşmalar (Avrupa Konseyi antlaşmaları, bk. ilgili uluslararası hukuk), her iki Devletin de birbiriyle işbirliği yapmak için mevcut tüm </w:t>
      </w:r>
      <w:r w:rsidR="000A453F">
        <w:t>imkânları</w:t>
      </w:r>
      <w:r w:rsidR="00F25813">
        <w:t xml:space="preserve"> kullanıp kullanmadığının belirlenmesinde tek başvuru çerçevesi olarak kullanılamaz. Resmi diplomatik ilişkilerin yokluğunda, resmileştirilmiş işbirliği yollarının başarısız olması daha muhtemeldir ve Devletlerin örneğin üçüncü Devletler veya uluslararası kuruluşlar yoluyla diğer daha gayriresmi ve dolaylı kanalları kullanması gerekebilir.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238</w:t>
      </w:r>
      <w:r w:rsidRPr="007C6A77">
        <w:fldChar w:fldCharType="end"/>
      </w:r>
      <w:r w:rsidR="00F25813">
        <w:t xml:space="preserve">.  Yukarıda belirtilenler ışığında, Mahkeme, şimdiki gibi durumlarda, ilgili Devletlerin, soruşturma ve kovuşturmaların bir bütün olarak etkili bir şekilde yürütülmesi için gerekli olan işbirliğini talep etmek ve işbirliğinde bulunmak amacıyla makul tüm yolları kullanıp kullanamadıklarını belirlemelidir. Bu durum, Mahkemenin, ilgili uluslararası antlaşmalarca öngörülen işbirliği mekanizmaları dışında, ilgili Devletlerin kullandığı gayri resmi veya geçici </w:t>
      </w:r>
      <w:r w:rsidR="00F25813">
        <w:rPr>
          <w:i/>
        </w:rPr>
        <w:t>(ad hoc)</w:t>
      </w:r>
      <w:r w:rsidR="00F25813">
        <w:t xml:space="preserve"> işbirliği kanallarını incelemesini gerektirebilmektedir. Bu bağlamda Mahkeme, ceza işlerinde kesin işbirliği alanında uluslararası hukukta uygulanan norm ve ilkelerdeki gelişimi yansıttıkları için, sözkonusu uluslararası antlaşmalar tarafından aynı zamanda yönlendirilebilir ve yönlendirilmelidir.</w:t>
      </w:r>
    </w:p>
    <w:p w:rsidR="00F25813" w:rsidRPr="007C6A77" w:rsidRDefault="00F25813" w:rsidP="00F25813">
      <w:pPr>
        <w:pStyle w:val="ECHRHeading5"/>
        <w:outlineLvl w:val="5"/>
      </w:pPr>
      <w:r>
        <w:t>Bu kriterlerin mevcut davaya uygulanması</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239</w:t>
      </w:r>
      <w:r w:rsidRPr="007C6A77">
        <w:fldChar w:fldCharType="end"/>
      </w:r>
      <w:r w:rsidR="00F25813">
        <w:t>.  Yukarıda belirtilen ilkeler ışığında (bk. 230-38. Paragraflar), Mahkeme, başvuranların yakınlarının ölümlerini soruşturmak için her iki Devletin de 2. maddeden doğan usul yükümlülükleri gereği birbirleriyle işbirliği yapmakla yükümlü olduğuna karar vermiştir. Mahkeme, şimdi, mevcut davanın özel koşullarını göz önünde bulundurarak davalı Devletlerin bu yükümlülüğe uyup uymadıklarını tespit etmelidir.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240</w:t>
      </w:r>
      <w:r w:rsidRPr="007C6A77">
        <w:fldChar w:fldCharType="end"/>
      </w:r>
      <w:r w:rsidR="00F25813">
        <w:t xml:space="preserve">.  Mahkeme, her iki Devletin de, o dönemlerde, iade sözleşmesi ve ceza işlerinde işbirliği ile ilgili iki önemli Avrupa Konseyi Sözleşmesi olan Suçluların İadesine Dair Avrupa Sözleşmesi ve Ceza İşlerinde Karşılıklı Adli Yardım Avrupa Sözleşmesi’ni onayladığının bilincindedir.  Bu Sözleşmeler’in mevcut davanın başta ülkesel uygulama olmak üzere bazı özel durumlarda uygulanmasına Türkiye tarafından kısmen itiraz edilmesine rağmen, bu Sözleşmeler iki Devlet nezdinde de yürürlükteydi ve Türkiye, Kıbrıs Cumhuriyeti’nde uygulanabilirlikleri hariç olmak üzere, henüz sözkonusu Sözleşmeler’in Ek Protokollerinin bazılarına dair ekli beyanat vermemiştir. (bk. yukarıdaki 144. ve 149. paragraflar). Ancak Mahkeme, bahsekonu Sözleşmeler’in hükümleri bakımından uygulanabilir olup olmadığını veya davalı Devletlerin mevcut davanın özel durumlarında yükümlülüklerini yerine getirip getirmediğini tespit etmeye yetkili olduğunu düşünmemektedir. Yukarıdaki 238. paragrafta da belirtildiği üzere, bu antlaşmalar, 2. maddenin usul yönü kapsamında işbirliğinde bulunma yükümlülüğünü yorumlama konusunda Mahkemeye yönlendirme sağlayabilir (örneğin, Mahkemenin uluslararası belgeleri, ilgili Devletler tarafından onaylanmış olsun veya olmasın veya </w:t>
      </w:r>
      <w:r w:rsidR="00E154EF">
        <w:t>sözkonusu</w:t>
      </w:r>
      <w:r w:rsidR="00F25813">
        <w:t xml:space="preserve"> zamanda bağlayıcı olsun veya olmasın uluslararası hukukta gelişen normların bir ifadesi olarak dikkate aldığında. Bk. yukarıda anılan </w:t>
      </w:r>
      <w:r w:rsidR="00F25813">
        <w:rPr>
          <w:i/>
        </w:rPr>
        <w:t>Demir / Baykara</w:t>
      </w:r>
      <w:r w:rsidR="00F25813">
        <w:t xml:space="preserve"> §§ 65-86); yukarıda anılan </w:t>
      </w:r>
      <w:r w:rsidR="00F25813">
        <w:rPr>
          <w:i/>
        </w:rPr>
        <w:t>Rantsev</w:t>
      </w:r>
      <w:r w:rsidR="00F25813">
        <w:t xml:space="preserve">, §§ 278, 282, 285-86 ve 289; ve </w:t>
      </w:r>
      <w:r w:rsidR="00F25813">
        <w:rPr>
          <w:i/>
        </w:rPr>
        <w:t>Macar Helsinki Bizottság / Macaristan</w:t>
      </w:r>
      <w:r w:rsidR="00F25813">
        <w:t xml:space="preserve"> [BD], </w:t>
      </w:r>
      <w:r w:rsidR="00964336">
        <w:t>No.</w:t>
      </w:r>
      <w:r w:rsidR="00F25813">
        <w:t xml:space="preserve"> 18030/11, § 145, 8 Kasım 2016).  Bahsedilen durum, sözkonusu Sözleşmeler Avrupa Konseyine üye bütün Devletler tarafından imzalandığı için suçluların iadesi ve ceza işlerinde işbirliği alanlarında Devletler arasında belirgin ölçüde ortak bir zemin teşkil ederek mevcut davada evleviyetle (</w:t>
      </w:r>
      <w:r w:rsidR="00F25813">
        <w:rPr>
          <w:i/>
        </w:rPr>
        <w:t>a fortiori</w:t>
      </w:r>
      <w:r w:rsidR="00F25813">
        <w:t>) uygulanmaktadır (bk. yukarıdaki 146. ve 151. paragraflar).</w:t>
      </w:r>
    </w:p>
    <w:p w:rsidR="00F25813" w:rsidRPr="008418C3" w:rsidRDefault="00F25813" w:rsidP="00F25813">
      <w:pPr>
        <w:pStyle w:val="ECHRHeading6"/>
        <w:outlineLvl w:val="6"/>
      </w:pPr>
      <w:bookmarkStart w:id="52" w:name="_Toc430944110"/>
      <w:r>
        <w:t>(α)  </w:t>
      </w:r>
      <w:bookmarkEnd w:id="52"/>
      <w:r>
        <w:t>Kıbrıs</w:t>
      </w:r>
    </w:p>
    <w:p w:rsidR="00F25813" w:rsidRPr="007C6A77" w:rsidRDefault="00F25813" w:rsidP="00F25813">
      <w:pPr>
        <w:pStyle w:val="ECHRHeading6"/>
        <w:outlineLvl w:val="6"/>
        <w:rPr>
          <w:i/>
        </w:rPr>
      </w:pPr>
      <w:r>
        <w:rPr>
          <w:i/>
        </w:rPr>
        <w:t>Kıbrıs, şüphelilerin Türkiye tarafından teslimini/iadesini talep etmek için makul tüm yolları kullandı mı?</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241</w:t>
      </w:r>
      <w:r w:rsidRPr="007C6A77">
        <w:fldChar w:fldCharType="end"/>
      </w:r>
      <w:r w:rsidR="00F25813">
        <w:t xml:space="preserve">.  Kıbrıs’ın işbirliğinde bulunma yükümlülüğü ile ilgili ortaya çıkan ilk soru, cinayet şüphelilerinin </w:t>
      </w:r>
      <w:r w:rsidR="008B4471">
        <w:t>“KKTC”</w:t>
      </w:r>
      <w:r w:rsidR="00F25813">
        <w:t>ye veya Türkiye’ye kaçmış olduğu ve bu şüphelilerin soruşturulması ve nihayetinde cezai kovuşturmaya gidilmesi için şüphelilerin mevcudiyetlerinin gerekli olduğu dikkate alındığında, Kıbrıs makamlarının Türkiye tarafından sözkonusu şüphelilerin teslimini/iadesini talep etmek için makul tüm yollara başvurup başvurmadığıdır. Başvuranlar, Mahkeme huzurunda bulundukları beyanda Kıbrıs makamlarının kendilerinden beklenilen her şeyi yapmadıklarını ileri sürmüştür.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242</w:t>
      </w:r>
      <w:r w:rsidRPr="007C6A77">
        <w:fldChar w:fldCharType="end"/>
      </w:r>
      <w:r w:rsidR="00F25813">
        <w:t xml:space="preserve">.  Mahkeme, soruşturmanın ilk evrelerinde olası şüphelilerin kimliklerinin belirlenmesinin ardından Kıbrıs makamlarının, şüphelilerin yerlerinin tespit edilmesi ve tutuklanarak iade edilmelerini sağlamak için Interpol’e “Kırmızı Bülten” talebinde bulunduklarını ifade etmektedir (bk. yukarıdaki 37, 38 ve 44. paragraflar).  Interpol tarafından bu sekiz şüpheli için Kırmızı Bülten çıkartılmıştır.  Interpol’ün Kıbrıs bürosu da Türkiye Cumhuriyeti İçişleri Bakanlığına, sekiz şüphelinin Interpol tarafından arandığını belirten ve bu şüphelilerin Türkiye’ye giriş yapmaları durumunda tutuklanmalarını talep eden e-postalar atmıştır (bk. yukarıdaki 40 ve 45. paragraflar).  </w:t>
      </w:r>
      <w:r w:rsidR="00E562AE">
        <w:t>BMBG</w:t>
      </w:r>
      <w:r w:rsidR="00F25813">
        <w:t xml:space="preserve"> toplantıları ile ilgili belgeler, Kıbrıs makamlarının, şüphelilerden bazılarının o sıralarda hâlihazırda </w:t>
      </w:r>
      <w:r w:rsidR="008B4471">
        <w:t>“KKTC”</w:t>
      </w:r>
      <w:r w:rsidR="00F25813">
        <w:t xml:space="preserve">de tutuklu bulunduklarını bildiklerini göstermektedir (bk. yukarıdaki 108, 114 ve 115. paragraflar).  Bu gerçeklere dayanarak, Kıbrıs soruşturmanın ilk evrelerinde, şüphelilerin </w:t>
      </w:r>
      <w:r w:rsidR="008B4471">
        <w:t>“KKTC”</w:t>
      </w:r>
      <w:r w:rsidR="00F25813">
        <w:t xml:space="preserve"> tarafından teslim edilmesi konusunda </w:t>
      </w:r>
      <w:r w:rsidR="00E562AE">
        <w:t>BMBG</w:t>
      </w:r>
      <w:r w:rsidR="00F25813">
        <w:t xml:space="preserve"> aracılığıyla müzakerede bulunmak için girişimde bulunmuştur (bk. 113, 118 ve 121. paragraflar). Ancak, Türk veya </w:t>
      </w:r>
      <w:r w:rsidR="008B4471">
        <w:t>“KKTC”</w:t>
      </w:r>
      <w:r w:rsidR="00F25813">
        <w:t xml:space="preserve"> makamlarının, şüphelileri teslim etme konusunda istekli olmadığı daha başlarda belli idi (bk. 93, 110 ve 114. paragraflar).  Bu şartlar altında ve özellikle Türk ve </w:t>
      </w:r>
      <w:r w:rsidR="008B4471">
        <w:t>“KKTC”</w:t>
      </w:r>
      <w:r w:rsidR="00F25813">
        <w:t xml:space="preserve"> makamları tarafından öne sürülen ve </w:t>
      </w:r>
      <w:r w:rsidR="00E562AE">
        <w:t>BMBG</w:t>
      </w:r>
      <w:r w:rsidR="00F25813">
        <w:t xml:space="preserve"> aracılığıyla Kıbrıs’a iletilen itirazların ışığında, Kıbrıs suçluları ilk olarak </w:t>
      </w:r>
      <w:r w:rsidR="00E562AE">
        <w:t>BMBG</w:t>
      </w:r>
      <w:r w:rsidR="00F25813">
        <w:t xml:space="preserve"> aracılığıyla teslim almaya çalıştığı için ve ancak bu girişimler başarısız olunca, Türkiye’ye iade taleplerini </w:t>
      </w:r>
      <w:r w:rsidR="000A453F">
        <w:t>sunarak Kırmızı</w:t>
      </w:r>
      <w:r w:rsidR="00F25813">
        <w:t xml:space="preserve"> Bültenlerin çıkartılmasının ardından üç buçuk yıldan fazla süre sonra (sekiz şüpheliden vefat eden dördüncü şüpheli ve 2006’da Kıbrıs’ta tutuklanıp serbest bırakılan sekizinci şüpheli hariç diğer altı şüphelinin) iadesini Türkiye’den talep ettiği için eleştirilemez. Ayrıca, bu zaman aşımının iade taleplerinin sonucunu hiçbir şekilde etkilemediği görülmektedir.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243</w:t>
      </w:r>
      <w:r w:rsidRPr="007C6A77">
        <w:fldChar w:fldCharType="end"/>
      </w:r>
      <w:r w:rsidR="00F25813">
        <w:t xml:space="preserve">.  Mahkeme, iade taleplerinin 4 Kasım 2008 tarihinde Atina’daki Türk Büyükelçiliği aracılığıyla yapıldığını gözlemlemektedir.  Atina’daki bir Kıbrıs Büyükelçiliği görevlisi, iade talebi ve nota </w:t>
      </w:r>
      <w:r w:rsidR="00F25813">
        <w:rPr>
          <w:i/>
        </w:rPr>
        <w:t>(note verbale)</w:t>
      </w:r>
      <w:r w:rsidR="00F25813">
        <w:t xml:space="preserve"> içeren zarfı, Türk Büyükelçiliği güvenlik görevlisine teslim etmiş, ancak kendisine alındı makbuzu verilmemiştir (bk. yukarıdaki 59. paragraf).  Türk Hükümeti, Daire huzurunda bu olaya karşı bir itiraz belirtmemiştir. Büyük Daire huzurunda ise iade taleplerinin geçerli olmadığını ve bunun sebebinin </w:t>
      </w:r>
      <w:r w:rsidR="00E154EF">
        <w:t>sözkonusu</w:t>
      </w:r>
      <w:r w:rsidR="00F25813">
        <w:t xml:space="preserve"> taleplerin Suçluların İadesi Sözleşmesi’nin 12. maddesine aykırı olarak “diplomatik kanallar aracılığıyla” iletilmemesi olduğunu vurgulamıştır.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244</w:t>
      </w:r>
      <w:r w:rsidRPr="007C6A77">
        <w:fldChar w:fldCharType="end"/>
      </w:r>
      <w:r w:rsidR="00F25813">
        <w:t>.  Mahkeme, Kıbrıs ve Türkiye arasında bir diplomatik ilişki bulunmadığını göz önünde bulundurarak iade taleplerinin Atina’daki ilgili Büyükelçiliklerin personeli aracılığıyla yapılmasının Kıbrıs için müsait tek iletişim kanalı olduğunu düşünmektedir. Esasen, Türk Hükümeti, mahkemeye sunduğu görüşlerde Kıbrıs’ın kullanabileceği alternatif bir iletişim kanalından bahsetmemiş ve duruşma sırasında, iki Devlet arasında bir diplomatik ilişki bulunmadığı için olağan diplomatik kanalların açık olmadığını belirtmiştir. Mahkeme, iki Devlet arasında bir diplomatik ilişki olmamasının, davalı Devletlerin 2. madde uyarınca işbirliğinde bulunma yükümlülüğünü ortadan kaldırdığını kabul etmemektedir.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245</w:t>
      </w:r>
      <w:r w:rsidRPr="007C6A77">
        <w:fldChar w:fldCharType="end"/>
      </w:r>
      <w:r w:rsidR="00F25813">
        <w:t>.  Bu yüzden Mahkeme, Kıbrıs makamlarının, şüphelilerin Türkiye tarafından teslimini/iadesini talep etmek için makul tüm yolları kullandığı kararına varmıştır.</w:t>
      </w:r>
    </w:p>
    <w:p w:rsidR="00F25813" w:rsidRPr="007C6A77" w:rsidRDefault="00F25813" w:rsidP="00F25813">
      <w:pPr>
        <w:pStyle w:val="ECHRHeading6"/>
        <w:outlineLvl w:val="6"/>
        <w:rPr>
          <w:i/>
        </w:rPr>
      </w:pPr>
      <w:r>
        <w:rPr>
          <w:i/>
        </w:rPr>
        <w:t xml:space="preserve">Kıbrıs’ın, tüm delilleri </w:t>
      </w:r>
      <w:r w:rsidR="008B4471">
        <w:rPr>
          <w:i/>
        </w:rPr>
        <w:t>“KKTC”</w:t>
      </w:r>
      <w:r>
        <w:rPr>
          <w:i/>
        </w:rPr>
        <w:t xml:space="preserve"> veya Türk makamları ile paylaşma yükümlülüğü var mıydı?</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246</w:t>
      </w:r>
      <w:r w:rsidRPr="007C6A77">
        <w:fldChar w:fldCharType="end"/>
      </w:r>
      <w:r w:rsidR="00F25813">
        <w:t xml:space="preserve">.  Bir sonraki tespit edilecek nokta, Sözleşme’nin 2. maddesi kapsamındaki işbirliğinde bulunma görevi uyarınca Kıbrıs’ın mevcut soruşturma dosyasında bulunan tüm delilleri Türkiye veya </w:t>
      </w:r>
      <w:r w:rsidR="008B4471">
        <w:t>“KKTC”</w:t>
      </w:r>
      <w:r w:rsidR="00F25813">
        <w:t xml:space="preserve"> makamları ile paylaşma yükümlülüğü olup olmadığıdır.  Bu konuda, Mahkeme, Türkiye’nin </w:t>
      </w:r>
      <w:r w:rsidR="008B4471">
        <w:t>“KKTC”</w:t>
      </w:r>
      <w:r w:rsidR="00F25813">
        <w:t xml:space="preserve"> makamları aracılığıyla ve </w:t>
      </w:r>
      <w:r w:rsidR="00E562AE">
        <w:t>BMBG</w:t>
      </w:r>
      <w:r w:rsidR="00F25813">
        <w:t xml:space="preserve"> arabuluculuğu çerçevesinde, şüphelilerin tutukluluk hâlinin devamı ve </w:t>
      </w:r>
      <w:r w:rsidR="008B4471">
        <w:t>“KKTC”</w:t>
      </w:r>
      <w:r w:rsidR="00F25813">
        <w:t>de yürüttükleri soruşturma için Kıbrıs’tan delilleri paylaşmasını talep ettiğini belirtmiştir (bk. 110, 115, 122, 123 ve 126. Paragraflar).  Bu duruma, başvuranlar veya Kıbrıs tarafından itiraz edilmemiştir.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247</w:t>
      </w:r>
      <w:r w:rsidRPr="007C6A77">
        <w:fldChar w:fldCharType="end"/>
      </w:r>
      <w:r w:rsidR="00F25813">
        <w:t xml:space="preserve">.  Öncelikle, Kıbrıs’ın tüm delilleri </w:t>
      </w:r>
      <w:r w:rsidR="008B4471">
        <w:t>“KKTC”</w:t>
      </w:r>
      <w:r w:rsidR="00F25813">
        <w:t xml:space="preserve"> makamları ile paylaşmayı reddetmesine gerekçe olarak Mahkeme huzurunda öne sürdüğü iddialardan birinin </w:t>
      </w:r>
      <w:r w:rsidR="008B4471">
        <w:t>“KKTC”</w:t>
      </w:r>
      <w:r w:rsidR="00F25813">
        <w:t xml:space="preserve">nin Sözleşme’ye taraf bir Devlet olmaması ve bu sebepten ötürü 2. maddenin yükümlülüklerini yerine getirmeye muktedir olmaması olduğu, Mahkeme tarafından belirtilmiştir.  Kıbrıs ayrıca bu bağlamda delillerin </w:t>
      </w:r>
      <w:r w:rsidR="008B4471">
        <w:t>“KKTC”</w:t>
      </w:r>
      <w:r w:rsidR="00F25813">
        <w:t>ye temin edilmesinin, Sözleşme gereğince şüphelilerin hukuka aykırı mahkemeler tarafından hukuka aykırı bir şekilde tutuklanması ve yargılanmasına neden olacağının altını çizmiştir.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248</w:t>
      </w:r>
      <w:r w:rsidRPr="007C6A77">
        <w:fldChar w:fldCharType="end"/>
      </w:r>
      <w:r w:rsidR="00F25813">
        <w:t>. </w:t>
      </w:r>
      <w:r w:rsidR="00F25813">
        <w:rPr>
          <w:b/>
        </w:rPr>
        <w:t xml:space="preserve"> </w:t>
      </w:r>
      <w:r w:rsidR="00F25813">
        <w:t xml:space="preserve">Mahkeme hâlihazırda, kuzey Kıbrıs’ta </w:t>
      </w:r>
      <w:r w:rsidR="008B4471">
        <w:t>“KKTC”</w:t>
      </w:r>
      <w:r w:rsidR="00F25813">
        <w:t xml:space="preserve"> makamları tarafından gerçekleştirilen eylemlerden Türkiye’nin sorumlu tutulacağını ve bu bölgede kabul edilen ve uygulanan medeni, idari veya ceza hukuku tedbirlerinin geçerliliği reddedilirse veya Sözleşme’nin amaçları bakımından “yasal” bir temeli bulunmadığı kabul edilirse, sözkonusu durumla tutarsızlık teşkil edeceğini kabul etmiştir. (bk. yukarıda anılan, </w:t>
      </w:r>
      <w:r w:rsidR="00F25813">
        <w:rPr>
          <w:i/>
        </w:rPr>
        <w:t>Foka</w:t>
      </w:r>
      <w:r w:rsidR="00F25813">
        <w:t xml:space="preserve">, § 83). </w:t>
      </w:r>
      <w:r w:rsidR="00F25813">
        <w:rPr>
          <w:i/>
        </w:rPr>
        <w:t> </w:t>
      </w:r>
      <w:r w:rsidR="00F25813">
        <w:t xml:space="preserve">Mahkeme, dolayısıyla </w:t>
      </w:r>
      <w:r w:rsidR="008B4471">
        <w:t>“KKTC”</w:t>
      </w:r>
      <w:r w:rsidR="00F25813">
        <w:t xml:space="preserve"> makamları tarafından gerçekleştirilen eylemlerin, Kuzey Kıbrıs bölgesinde yürürlükte olan kanunlara uygun olarak gerçekleştirildiği takdirde bu eylemlerin Sözleşme gereğince prensip olarak iç hukuk kapsamında hukuki bir dayanağı olduğu şeklinde değerlendirilmesi gerektiğini belirtmiştir. (bkz. </w:t>
      </w:r>
      <w:r w:rsidR="00F25813" w:rsidRPr="00E6642A">
        <w:rPr>
          <w:i/>
          <w:iCs/>
        </w:rPr>
        <w:t>F</w:t>
      </w:r>
      <w:r w:rsidR="00E6642A" w:rsidRPr="00E6642A">
        <w:rPr>
          <w:i/>
          <w:iCs/>
        </w:rPr>
        <w:t>o</w:t>
      </w:r>
      <w:r w:rsidR="00F25813" w:rsidRPr="00E6642A">
        <w:rPr>
          <w:i/>
          <w:iCs/>
        </w:rPr>
        <w:t>ka</w:t>
      </w:r>
      <w:r w:rsidR="00F25813">
        <w:t xml:space="preserve"> 84. paragraf, yukarıda anılmıştır: Güney Kıbrıslı bir başvur</w:t>
      </w:r>
      <w:r w:rsidR="0002601B">
        <w:t>anın</w:t>
      </w:r>
      <w:r w:rsidR="00F25813">
        <w:t xml:space="preserve"> bir </w:t>
      </w:r>
      <w:r w:rsidR="008B4471">
        <w:t>“KKTC”</w:t>
      </w:r>
      <w:r w:rsidR="00F25813">
        <w:t xml:space="preserve"> polis memuru tarafından tutuklanmasının 5. </w:t>
      </w:r>
      <w:r w:rsidR="008E4B37">
        <w:t>m</w:t>
      </w:r>
      <w:r w:rsidR="00F25813">
        <w:t xml:space="preserve">adde bakımından yasal bulunması; ve </w:t>
      </w:r>
      <w:r w:rsidR="00F25813" w:rsidRPr="00BC1DC1">
        <w:rPr>
          <w:i/>
        </w:rPr>
        <w:t>Protopapa</w:t>
      </w:r>
      <w:r w:rsidR="00BC1DC1" w:rsidRPr="00BC1DC1">
        <w:rPr>
          <w:i/>
        </w:rPr>
        <w:t xml:space="preserve"> </w:t>
      </w:r>
      <w:r w:rsidR="00F25813" w:rsidRPr="00BC1DC1">
        <w:rPr>
          <w:i/>
        </w:rPr>
        <w:t>/</w:t>
      </w:r>
      <w:r w:rsidR="00BC1DC1" w:rsidRPr="00BC1DC1">
        <w:rPr>
          <w:i/>
        </w:rPr>
        <w:t xml:space="preserve"> </w:t>
      </w:r>
      <w:r w:rsidR="00F25813" w:rsidRPr="00BC1DC1">
        <w:rPr>
          <w:i/>
        </w:rPr>
        <w:t>Türkiye</w:t>
      </w:r>
      <w:r w:rsidR="00F25813">
        <w:t xml:space="preserve"> </w:t>
      </w:r>
      <w:r w:rsidR="00964336">
        <w:t>No.</w:t>
      </w:r>
      <w:r w:rsidR="00F25813">
        <w:t xml:space="preserve"> 16084/90, 60 ve 83-89 arası paragraflar, 24 Şubat 2009: </w:t>
      </w:r>
      <w:r w:rsidR="008B4471">
        <w:t>“KKTC”</w:t>
      </w:r>
      <w:r w:rsidR="00F25813">
        <w:t xml:space="preserve"> makamları tarafından uygulanan tutuklu yargılama ve yargıladıktan sonra hüküm giydirme uygulamalarının 5. </w:t>
      </w:r>
      <w:r w:rsidR="00712BDA">
        <w:t>m</w:t>
      </w:r>
      <w:r w:rsidR="00F25813">
        <w:t xml:space="preserve">adde, </w:t>
      </w:r>
      <w:r w:rsidR="008B4471">
        <w:t>“KKTC”</w:t>
      </w:r>
      <w:r w:rsidR="00F25813">
        <w:t xml:space="preserve"> mahkemeleri huzurunda ceza davaları yürütmenin 6. </w:t>
      </w:r>
      <w:r w:rsidR="00BB4A6F">
        <w:t>m</w:t>
      </w:r>
      <w:r w:rsidR="00F25813">
        <w:t>addeye uygun olarak yasal olduğunun belirtilmesi).</w:t>
      </w:r>
    </w:p>
    <w:p w:rsidR="00F25813"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249</w:t>
      </w:r>
      <w:r w:rsidRPr="007C6A77">
        <w:fldChar w:fldCharType="end"/>
      </w:r>
      <w:r w:rsidR="00F25813">
        <w:t xml:space="preserve">.  Mahkeme, içtihadında, tanınmayan oluşumların ceza mahkemeleri de </w:t>
      </w:r>
      <w:r w:rsidR="007F3C38">
        <w:t>dâhil</w:t>
      </w:r>
      <w:r w:rsidR="00F25813">
        <w:t xml:space="preserve"> bütün mahkemeleri tarafından alınan kararların, bu mahkemelerin Sözleşme tarafından verilen garantilerden kişilerin yararlanabilmeleri için “anayasal ve hukuki bir temelde” işlev gören, Sözleşme ile uyumlu bir yargı geleneğine sahip bir sistemin parçasını oluşturdukları sürece Sözleşme gereğince “yasal” sayılabileceğini tespit etmiştir (bk. </w:t>
      </w:r>
      <w:r w:rsidR="00F25813">
        <w:rPr>
          <w:i/>
        </w:rPr>
        <w:t>İlaşçu ve Diğerleri</w:t>
      </w:r>
      <w:r w:rsidR="00F25813">
        <w:t xml:space="preserve">, yukarıda anılan, § 460; bk. </w:t>
      </w:r>
      <w:r w:rsidR="008B4471">
        <w:t>“KKTC”</w:t>
      </w:r>
      <w:r w:rsidR="00F25813">
        <w:t xml:space="preserve"> mahkemeleriyle ilgili olarak </w:t>
      </w:r>
      <w:r w:rsidR="00F25813">
        <w:rPr>
          <w:i/>
        </w:rPr>
        <w:t>Kıbrıs / Türkiye</w:t>
      </w:r>
      <w:r w:rsidR="00F25813">
        <w:t xml:space="preserve">, yukarıda anılan, §§236-237; </w:t>
      </w:r>
      <w:r w:rsidR="00F25813">
        <w:rPr>
          <w:i/>
        </w:rPr>
        <w:t>Mozer</w:t>
      </w:r>
      <w:r w:rsidR="00F25813">
        <w:t xml:space="preserve">, yukarıda anılan, §§142-150 ile kıyaslayıp karşılaştırınız).  Mahkeme, </w:t>
      </w:r>
      <w:r w:rsidR="008B4471">
        <w:t>“KKTC”</w:t>
      </w:r>
      <w:r w:rsidR="00F25813">
        <w:t xml:space="preserve"> mahkemeleri ve makamlarına ilişkin, hiçbir şekilde, zımni veya başka bir şekilde </w:t>
      </w:r>
      <w:r w:rsidR="008B4471">
        <w:t>“KKTC”</w:t>
      </w:r>
      <w:r w:rsidR="00F25813">
        <w:t xml:space="preserve">nin devlet olma iddiasını tanıma anlamına gelmeyen bu bulgulardan vazgeçmek için hiçbir sebep görmemektedir (bk. </w:t>
      </w:r>
      <w:r w:rsidR="00F25813">
        <w:rPr>
          <w:i/>
        </w:rPr>
        <w:t>Kıbrıs / Türkiye</w:t>
      </w:r>
      <w:r w:rsidR="00F25813">
        <w:t>, 238. paragraf).</w:t>
      </w:r>
    </w:p>
    <w:p w:rsidR="007C4171" w:rsidRPr="007C6A77" w:rsidRDefault="007C4171" w:rsidP="00F25813">
      <w:pPr>
        <w:pStyle w:val="ECHRPara"/>
      </w:pP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250</w:t>
      </w:r>
      <w:r w:rsidRPr="007C6A77">
        <w:fldChar w:fldCharType="end"/>
      </w:r>
      <w:r w:rsidR="00F25813">
        <w:t xml:space="preserve">.  Mahkeme, Kıbrıs’ın Türkiye veya </w:t>
      </w:r>
      <w:r w:rsidR="008B4471">
        <w:t>“KKTC”</w:t>
      </w:r>
      <w:r w:rsidR="00F25813">
        <w:t xml:space="preserve"> yetkililerine tüm delilleri sunmayı reddetmesine gerekçe olarak öne sürdüğü ana sebebin, böyle bir işbirliğinin uluslararası teamül hukuku tanımama ilkesini ihlâl edeceği olduğunu gözlemlemiştir (bk. yukarıdaki 157-58. ve 207-08. paragraflar). Mahkeme, uluslararası hukuk kapsamında tanınmayan veya </w:t>
      </w:r>
      <w:r w:rsidR="00F25813">
        <w:rPr>
          <w:i/>
        </w:rPr>
        <w:t xml:space="preserve">de facto </w:t>
      </w:r>
      <w:r w:rsidR="00F25813">
        <w:t xml:space="preserve">oluşumlar ile ceza işlerinde işbirliğinin hukukiliği konusunda genel bir teori oluşturmanın mevcut davada arzu edilir veya gerekli olduğunu düşünmemektedir. Bununla birlikte Mahkeme, oluşturulan yasal yollara ilişkin Sözleşme’nin amaçları veya </w:t>
      </w:r>
      <w:r w:rsidR="008B4471">
        <w:t>“KKTC”</w:t>
      </w:r>
      <w:r w:rsidR="00F25813">
        <w:t xml:space="preserve"> mukimleri veya eylemlerinden etkilenen kişilerle ilgili </w:t>
      </w:r>
      <w:r w:rsidR="008B4471">
        <w:t>“KKTC”</w:t>
      </w:r>
      <w:r w:rsidR="00F25813">
        <w:t xml:space="preserve"> makamları tarafından alınan önlemler doğrultusunda Mahkemenin geçerliliğini kabul ettiği önceki davalardan mevcut davanın ayrılması gerektiği konusunda Kıbrıs Hükümeti ile aynı düşüncededir (bk. </w:t>
      </w:r>
      <w:r w:rsidR="00F25813">
        <w:rPr>
          <w:i/>
        </w:rPr>
        <w:t>Kıbrıs</w:t>
      </w:r>
      <w:r w:rsidR="00DA6FA8">
        <w:rPr>
          <w:i/>
        </w:rPr>
        <w:t xml:space="preserve"> </w:t>
      </w:r>
      <w:r w:rsidR="00F25813">
        <w:rPr>
          <w:i/>
        </w:rPr>
        <w:t>/</w:t>
      </w:r>
      <w:r w:rsidR="00DA6FA8">
        <w:rPr>
          <w:i/>
        </w:rPr>
        <w:t xml:space="preserve"> </w:t>
      </w:r>
      <w:r w:rsidR="00F25813">
        <w:rPr>
          <w:i/>
        </w:rPr>
        <w:t>Türkiye</w:t>
      </w:r>
      <w:r w:rsidR="00F25813">
        <w:t xml:space="preserve">, yukarıda anılan, §§ 61 ve 238; </w:t>
      </w:r>
      <w:r w:rsidR="00F25813">
        <w:rPr>
          <w:i/>
        </w:rPr>
        <w:t>Demopoulos v</w:t>
      </w:r>
      <w:r w:rsidR="00DA6FA8">
        <w:rPr>
          <w:i/>
        </w:rPr>
        <w:t>e Diğerleri</w:t>
      </w:r>
      <w:r w:rsidR="00F25813">
        <w:rPr>
          <w:i/>
        </w:rPr>
        <w:t xml:space="preserve">, </w:t>
      </w:r>
      <w:r w:rsidR="00F25813">
        <w:t xml:space="preserve">yukarıda anılan, §§ 95-96; ve </w:t>
      </w:r>
      <w:r w:rsidR="00F25813">
        <w:rPr>
          <w:i/>
        </w:rPr>
        <w:t>Foka, yukarıda anılan</w:t>
      </w:r>
      <w:r w:rsidR="00F25813">
        <w:t xml:space="preserve">, §§ 83-84). Tüm bu davalarda Mahkeme, Türkiye’nin kuzey Kıbrıs’ta tüm Sözleşme haklarını güvence altına alabilmesi ve kendisine isnat edilebilir tüm hataları düzeltmesi için gerekli olduğu ölçüde bu yolların ve eylemlerin geçerliliğini tanımıştır. Mahkeme için ana husus, işgal altındaki bölgede yaşayanların veya bu bölge dışında yaşayan ve haklarının ihlâl edildiğini iddia edebilecek kişilerin zararına işleyecek bir boşluktan kaçınmaktır (bk. </w:t>
      </w:r>
      <w:r w:rsidR="00F25813">
        <w:rPr>
          <w:i/>
        </w:rPr>
        <w:t xml:space="preserve">Demopoulos </w:t>
      </w:r>
      <w:r w:rsidR="00DA6FA8">
        <w:rPr>
          <w:i/>
        </w:rPr>
        <w:t>ve Diğerleri</w:t>
      </w:r>
      <w:r w:rsidR="00F25813">
        <w:t>, yukarıda anılan, § 96). Mevcut davada, ortaya çıkan soru adanın Türkiye’nin etkin kontrolü altındaki kuzey kısmında herhangi bir kontrolü bulunmayan Kıbrıs Cumhuriyeti’nin Kıbrıs’ın meşru hükümeti olarak kuzeyde s</w:t>
      </w:r>
      <w:r w:rsidR="006515E8">
        <w:t>özü geçen bu topraklarda (“KKTC”</w:t>
      </w:r>
      <w:r w:rsidR="00F25813">
        <w:t xml:space="preserve">) kurulan de facto makamlarla, bu makamlara veya işgale dolaylı olarak hukuki geçerlilik vermeden işbirliği yapıp yapamayacağıdır. Mahkemenin görüşüne göre bu durum, Kıbrıs dışındaki bir Akit Devletin bu makamlarla işbirliği yapmasından da (bk. örneğin Birleşik Krallık polisi ile </w:t>
      </w:r>
      <w:r w:rsidR="008B4471">
        <w:t>“KKTC”</w:t>
      </w:r>
      <w:r w:rsidR="00F25813">
        <w:t xml:space="preserve"> makamları arasındaki yukarıda 214. Paragrafta anılan işbirliği) farklıdır.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251</w:t>
      </w:r>
      <w:r w:rsidRPr="007C6A77">
        <w:fldChar w:fldCharType="end"/>
      </w:r>
      <w:r w:rsidR="00F25813">
        <w:t xml:space="preserve">.  Mahkeme, </w:t>
      </w:r>
      <w:r w:rsidR="00F25813">
        <w:rPr>
          <w:i/>
        </w:rPr>
        <w:t xml:space="preserve">Ilaşcu </w:t>
      </w:r>
      <w:r w:rsidR="006664FA">
        <w:rPr>
          <w:i/>
        </w:rPr>
        <w:t>ve Diğerleri</w:t>
      </w:r>
      <w:r w:rsidR="006664FA">
        <w:t xml:space="preserve"> davasın</w:t>
      </w:r>
      <w:r w:rsidR="00F25813">
        <w:t>d</w:t>
      </w:r>
      <w:r w:rsidR="006664FA">
        <w:t>a</w:t>
      </w:r>
      <w:r w:rsidR="00F25813">
        <w:t xml:space="preserve"> bir Akit Devlet ile kendi sınırları içinde kurulan bölücü bir rejim arasındaki suçu önleme amacı taşıyan adli konularda ve güvenlik konularındaki gayri resmi ilişkilerin, doğaları ve sınırlı nitelikleri nedeniyle, bu oluşumu destekleme olarak değerlendirilemeyeceğini hâlihazırda kabul etmiştir (bk. </w:t>
      </w:r>
      <w:r w:rsidR="00F25813">
        <w:rPr>
          <w:i/>
        </w:rPr>
        <w:t xml:space="preserve">Ilaşcu </w:t>
      </w:r>
      <w:r w:rsidR="00DA6FA8">
        <w:rPr>
          <w:i/>
        </w:rPr>
        <w:t>ve Diğerleri</w:t>
      </w:r>
      <w:r w:rsidR="00F25813">
        <w:t xml:space="preserve">, §§ 177 ve 345). Bu ifade, Mahkemenin, Moldova Cumhuriyeti’nin o davada Transdinyester </w:t>
      </w:r>
      <w:r w:rsidR="00F25813">
        <w:rPr>
          <w:i/>
        </w:rPr>
        <w:t>de facto</w:t>
      </w:r>
      <w:r w:rsidR="00F25813">
        <w:t xml:space="preserve"> rejim tarafından kontrol edilen bölgede tutuklanan başvuranlara ilişkin pozitif yükümlülüklerini yerine getirip getirmediğinin değerlendirilmesi bağlamında yapılmıştır. Bunlar arasında, Moldova'nın Transdinyester üzerindeki kontrolünü yeniden kurma ve ayrılıkçı rejimi desteklemekten kaçınma yükümlülüğü de vardı. Ancak, Mahkeme, özellikle bilgi edinme ve tanık çağırma amacıyla gayri resmi ilişkilerin çoğunlukla Moldova savcıları veya memurları ile Transdinyester'deki meslektaşları arasındaki iletişimlerle ilgili olduğunu belirtmektedir.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252</w:t>
      </w:r>
      <w:r w:rsidRPr="007C6A77">
        <w:fldChar w:fldCharType="end"/>
      </w:r>
      <w:r w:rsidR="00F25813">
        <w:t xml:space="preserve">.  Mevcut davada, Kıbrıs’ın soruşturma dosyasındaki tüm delilleri, iç hukukları uyarınca cinayete yönelik paralel bir soruşturma yürüten </w:t>
      </w:r>
      <w:r w:rsidR="008B4471">
        <w:t>“KKTC”</w:t>
      </w:r>
      <w:r w:rsidR="00F25813">
        <w:t xml:space="preserve"> makamlarına iletmesinin gerekip gerekmediği meselesi tespit edilmelidir. Mahkeme, </w:t>
      </w:r>
      <w:r w:rsidR="00E562AE">
        <w:t>BMBG</w:t>
      </w:r>
      <w:r w:rsidR="00F25813">
        <w:t xml:space="preserve"> aracılığıyla </w:t>
      </w:r>
      <w:r w:rsidR="008B4471">
        <w:t>“KKTC”</w:t>
      </w:r>
      <w:r w:rsidR="00F25813">
        <w:t xml:space="preserve">ye bazı delilleri (DNA sonuçları) gönderdiğine (bk. yukarıdaki 121. ve 123. paragraflar) ve </w:t>
      </w:r>
      <w:r w:rsidR="008B4471">
        <w:t>“KKTC”</w:t>
      </w:r>
      <w:r w:rsidR="00F25813">
        <w:t xml:space="preserve"> makamlarının şüphelileri bu durumda Kıbrıs’a teslim etmeyi üstlenmesi koşuluyla tüm delilleri, şüphelilere karşı bir </w:t>
      </w:r>
      <w:r w:rsidR="00F25813">
        <w:rPr>
          <w:i/>
        </w:rPr>
        <w:t>prima facie</w:t>
      </w:r>
      <w:r w:rsidR="00F25813">
        <w:t xml:space="preserve"> dava olup olmadığını değerlendirmesi için </w:t>
      </w:r>
      <w:r w:rsidR="00E562AE">
        <w:t>BMBG</w:t>
      </w:r>
      <w:r w:rsidR="00F25813">
        <w:t xml:space="preserve">’ye devretmeye de hazır olduğuna (bk. yukarıdaki 130. paragraf) dikkati çekmektedir. </w:t>
      </w:r>
      <w:r w:rsidR="008B4471">
        <w:t>“KKTC”</w:t>
      </w:r>
      <w:r w:rsidR="00F25813">
        <w:t xml:space="preserve"> makamları tarafından böyle bir üstlenme olmadığından Kıbrıs da daha fazla delil sunmayı reddetmiştir. Ayrıca, </w:t>
      </w:r>
      <w:r w:rsidR="008B4471">
        <w:t>“KKTC”</w:t>
      </w:r>
      <w:r w:rsidR="00F25813">
        <w:t xml:space="preserve"> makamlarının Kıbrıs’tan tüm delilleri (polis soruşturma kayıtları ve güvenlik kamerası kayıtları) alma konusundaki ısrarının, şüphelilerin Kıbrıslı Türk mahkemelerinde yargılanmasına dair duruşlarında da görüldüğü üzere şüphelileri kendi mahkemelerinde dava etme ve yargılama niyetleriyle bağlantılı olduğu görülmektedir (bk. yukarıdaki 110., 112., 114., 116. ve 120. paragraflar). Bu durum, mevcut dava tebliğinin 2009’da davalı Hükümetlere verilmesinden sonra ve Kıbrıs soruşturma dosyasının Mahkeme aracılığıyla Türkiye’ye verilmesiyle daha da belirginleşmiştir. Gerçekten de Türk Hükümeti Daire huzurunda tanıkların ve çeşitli raporları hazırlayanların kanıt sunmak için </w:t>
      </w:r>
      <w:r w:rsidR="008B4471">
        <w:t>“KKTC”</w:t>
      </w:r>
      <w:r w:rsidR="00F25813">
        <w:t xml:space="preserve"> mahkemelerine başvurmalarını sağlamak için Kıbrıs’ın işbirliğinin gerekli olduğu yönünde ısrar etmiştir. Ayrıca </w:t>
      </w:r>
      <w:r w:rsidR="008B4471">
        <w:t>“KKTC”</w:t>
      </w:r>
      <w:r w:rsidR="00F25813">
        <w:t xml:space="preserve">nin, </w:t>
      </w:r>
      <w:r w:rsidR="008B4471">
        <w:t>“KKTC”</w:t>
      </w:r>
      <w:r w:rsidR="00F25813">
        <w:t xml:space="preserve"> yasası uyarınca kendi vatandaşlarının iadesine dair talepleri reddetmek zorunda olduğunu da onaylamıştır (bk. Daire kararının 247. paragrafı). Türkiye ayrıca Büyük Daire huzurunda Kıbrıs’ın, hem Suçluların İadesi Sözleşmesi (Madde 6 (2)) hem de Kovuşturmaların Aktarılması Sözleşmesi’nde (Madde 6 ve 8(1)(g)). öngörülen bir imkân olarak en azından Türk vatandaşı olan ve Türkiye’de bulunan beşinci şüpheliye ilişkin cezai kovuşturmaların aktarılmasını istemesi gerektiğini belirtmiştir.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253</w:t>
      </w:r>
      <w:r w:rsidRPr="007C6A77">
        <w:fldChar w:fldCharType="end"/>
      </w:r>
      <w:r w:rsidR="00F25813">
        <w:t xml:space="preserve">.  Bu bağlamda ve Türkiye’nin 2008’de Kıbrıs’ın iade taleplerini aldığında bu imkânı önermediği gerçeğinin yanı sıra (Gürcistan makamlarının, Azerbaycan tarafından talep edilen vatandaşlarının iadesini reddettikten sonra bu olasılığı açıkça ifade ettiği, </w:t>
      </w:r>
      <w:r w:rsidR="00F25813">
        <w:rPr>
          <w:i/>
        </w:rPr>
        <w:t>Huseynova</w:t>
      </w:r>
      <w:r w:rsidR="00F25813">
        <w:t xml:space="preserve"> davasının aksine, yukarıda anılan, § 111), Mahkeme, bütün soruşturma dosyasını </w:t>
      </w:r>
      <w:r w:rsidR="008B4471">
        <w:t>“KKTC”</w:t>
      </w:r>
      <w:r w:rsidR="00F25813">
        <w:t xml:space="preserve"> ye sunmanın, delillerin oradaki şüphelileri yargılamak amacıyla kullanılabilme ihtimali varken ve Kıbrıs makamlarına teslim edileceğinin garantisi olmadan, polis veya kovuşturma yetkilileri arasındaki işbirliğinin ötesine geçeceğini düşünmektedir (</w:t>
      </w:r>
      <w:r w:rsidR="00F25813">
        <w:rPr>
          <w:i/>
        </w:rPr>
        <w:t>Ilaşcu</w:t>
      </w:r>
      <w:r w:rsidR="00F25813">
        <w:t xml:space="preserve"> </w:t>
      </w:r>
      <w:r w:rsidR="00DA6FA8">
        <w:rPr>
          <w:i/>
        </w:rPr>
        <w:t>ve Diğerleri</w:t>
      </w:r>
      <w:r w:rsidR="00F25813">
        <w:t xml:space="preserve"> davasının aksine, yukarıda anılan, § 177). Bu, özünde, Kıbrıs tarafından ceza davasının </w:t>
      </w:r>
      <w:r w:rsidR="008B4471">
        <w:t>“KKTC”</w:t>
      </w:r>
      <w:r w:rsidR="00F25813">
        <w:t xml:space="preserve"> mahkemelerine aktarılması ve bu nedenle Kıbrıs’ın kendi sınırları </w:t>
      </w:r>
      <w:r w:rsidR="007F3C38">
        <w:t>dâhil</w:t>
      </w:r>
      <w:r w:rsidR="00F25813">
        <w:t xml:space="preserve">indeki tanınmayan bir oluşumun mahkemeleri lehine kendi kontrolündeki bölgede işlenen bir cinayete dair kendi cezai yargı yetkisinden feragat etmesi anlamına gelecektir. Aslında, bir Devletin egemenliğinin temel özelliklerinden biri cezai yargı yetkisinin kullanılmasıdır. Bu nedenle Mahkeme, böylesi özel bir durumda </w:t>
      </w:r>
      <w:r w:rsidR="008B4471">
        <w:t>“KKTC”</w:t>
      </w:r>
      <w:r w:rsidR="00F25813">
        <w:t xml:space="preserve"> mahkemeleri lehine olacak şekilde cezai yargı yetkisinden feragat etmeyi reddetmesinin makul olmadığı konusunda Kıbrıs Hükümeti ile hemfikirdir.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254</w:t>
      </w:r>
      <w:r w:rsidRPr="007C6A77">
        <w:fldChar w:fldCharType="end"/>
      </w:r>
      <w:r w:rsidR="00F25813">
        <w:t xml:space="preserve">.  Bu konum, aynı zamanda her iki ülkenin de taraf olduğu ilgili Avrupa Konseyi belgelerinin tabiatı ile de tutarlıdır.  Mahkeme, Karşılıklı Yardım Sözleşmesi’nin 2(b) maddesinin talepte bulunulan Devlete, talebin yerine getirilmesinin egemenlik, güvenlik, </w:t>
      </w:r>
      <w:r w:rsidR="00F25813">
        <w:rPr>
          <w:i/>
        </w:rPr>
        <w:t>ordre public</w:t>
      </w:r>
      <w:r w:rsidR="00F25813">
        <w:t xml:space="preserve"> (kamu düzeni) veya ülkenin diğer temel çıkarlarına zarar verebileceğini düşünüyorsa, Talep edilen Devlete yardım etmeyi reddetme olanağını verdiğine dikkat çekmektedir (bk. yukarıdaki 152. paragraf). Bu reddetme gerekçesi, bazı üye devletlerin mevzuatında da bulunabilir (bk. Yukarıdaki 167. paragraf). Benzer şekilde, Kovuşturmaların Aktarılması bir Devlete, yargı yetkisinden feragat etme ve kovuşturmaları başka bir Devlete aktarma yükümlülüğü getirmez. Ayrıca, iki Devlet arasında, örneğin davayı şüphelilerin bulunduğu Devlete aktarmaya yönelik bir görevi dayatan olumlu yargı ihtilafı durumunda, bir yargı öncelikleri sistemi oluşturmaz (bk. yukarıdaki 154-56. paragraflar; ve Sözleşmeye İlişkin Açıklayıcı Rapor, s. 31).</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255</w:t>
      </w:r>
      <w:r w:rsidRPr="007C6A77">
        <w:fldChar w:fldCharType="end"/>
      </w:r>
      <w:r w:rsidR="00F25813">
        <w:t xml:space="preserve">.  Yukarıda belirtilenler ışığında, Mahkeme, ne Kıbrıs'ın tüm delilleri </w:t>
      </w:r>
      <w:r w:rsidR="008B4471">
        <w:t>“KKTC”</w:t>
      </w:r>
      <w:r w:rsidR="00F25813">
        <w:t xml:space="preserve"> veya Türkiye makamlarına sunmayı reddetmesinin, ne de kovuşturmaların </w:t>
      </w:r>
      <w:r w:rsidR="008B4471">
        <w:t>“KKTC”</w:t>
      </w:r>
      <w:r w:rsidR="00F25813">
        <w:t xml:space="preserve"> veya Türkiye makamlarına aktarılması Sözleşmenin 2. maddesinin usule ilişkin yönleri bağlamında işbirliğinde bulunma görevinin ihlâli anlamına geldiğini düşünmektedir.</w:t>
      </w:r>
    </w:p>
    <w:p w:rsidR="00F25813" w:rsidRPr="007C6A77" w:rsidRDefault="00F25813" w:rsidP="00F25813">
      <w:pPr>
        <w:pStyle w:val="ECHRHeading6"/>
        <w:outlineLvl w:val="6"/>
        <w:rPr>
          <w:i/>
        </w:rPr>
      </w:pPr>
      <w:r>
        <w:rPr>
          <w:i/>
        </w:rPr>
        <w:t xml:space="preserve">Kıbrıs, </w:t>
      </w:r>
      <w:r w:rsidR="00E562AE">
        <w:rPr>
          <w:i/>
        </w:rPr>
        <w:t>BMBG</w:t>
      </w:r>
      <w:r>
        <w:rPr>
          <w:i/>
        </w:rPr>
        <w:t>’</w:t>
      </w:r>
      <w:r w:rsidR="00E562AE">
        <w:rPr>
          <w:i/>
        </w:rPr>
        <w:t>n</w:t>
      </w:r>
      <w:r>
        <w:rPr>
          <w:i/>
        </w:rPr>
        <w:t>in önerdiği gibi başka işbirliği biçimleriyle meşgul olma yükümlülüğü altında mıydı?</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256</w:t>
      </w:r>
      <w:r w:rsidRPr="007C6A77">
        <w:fldChar w:fldCharType="end"/>
      </w:r>
      <w:r w:rsidR="00F25813">
        <w:t xml:space="preserve">.  Mahkeme, </w:t>
      </w:r>
      <w:r w:rsidR="00E562AE">
        <w:t>BMBG</w:t>
      </w:r>
      <w:r w:rsidR="00F25813">
        <w:t xml:space="preserve"> tarafından yürütülen arabuluculuk çabaları bağlamında, Kıbrıs ile </w:t>
      </w:r>
      <w:r w:rsidR="008B4471">
        <w:t>“KKTC”</w:t>
      </w:r>
      <w:r w:rsidR="00F25813">
        <w:t xml:space="preserve"> makamları arasında uzlaşmacı bir çözüm bulmak için aşağıdaki işbirliği biçimlerinin önerildiğine dikkat çekmektedir: BM tampon bölgesinde her iki tarafın polisi ile İngiliz Egemen Üslerinin polisi arasında yapılan toplantılar, BM tampon bölgesindeki Ledra Palace Hotel'de şüphelilerin “video kayıt görüşme yöntemi” ile sorgulanması, tarafsız bir mekanda geçici </w:t>
      </w:r>
      <w:r w:rsidR="00F25813">
        <w:rPr>
          <w:i/>
        </w:rPr>
        <w:t xml:space="preserve">(ad hoc) </w:t>
      </w:r>
      <w:r w:rsidR="00F25813">
        <w:t xml:space="preserve">düzenleme veya duruşma imkanı, şüphelilerin üçüncü bir Devlete devredilmesi ve konuyla teknik hizmetler düzeyinde ilgilenilmesi (bk. yukarıdaki 122., 125., 126., 128. paragraflar) Ancak Mahkeme, bu diğer işbirliği biçimlerinin kendi başlarına şüphelilerin kovuşturulmasını ve yargılanmasını nasıl kolaylaştırabileceğini görmemektedir. Mahkeme nezdinde bu alternatiflerin, özellikle tarafsız bir </w:t>
      </w:r>
      <w:r w:rsidR="00BC1DC1">
        <w:t>mekânda</w:t>
      </w:r>
      <w:r w:rsidR="00F25813">
        <w:t xml:space="preserve"> </w:t>
      </w:r>
      <w:r w:rsidR="00F25813">
        <w:rPr>
          <w:i/>
        </w:rPr>
        <w:t>ad hoc</w:t>
      </w:r>
      <w:r w:rsidR="00F25813">
        <w:t xml:space="preserve"> bir duruşma düzenlenmesi olanağının, iç ya da uluslararası hukukta yeterince sağlam bir temele sahip olacağı konusunda henüz bir açıklama yapılmamıştır. Bu koşullar altında Mahkeme Kıbrıs'ın, 2. madde uyarınca yukarıdaki 241.-255. paragraflarda ele alınanlar dışında işbirliklerinde bulunmasının gerekli olduğunu düşünmemektedir.</w:t>
      </w:r>
    </w:p>
    <w:p w:rsidR="00F25813" w:rsidRPr="007C6A77" w:rsidRDefault="00F25813" w:rsidP="00F25813">
      <w:pPr>
        <w:pStyle w:val="ECHRHeading6"/>
        <w:outlineLvl w:val="6"/>
        <w:rPr>
          <w:i/>
        </w:rPr>
      </w:pPr>
      <w:r>
        <w:rPr>
          <w:i/>
        </w:rPr>
        <w:t>Sonuç</w:t>
      </w:r>
    </w:p>
    <w:p w:rsidR="00F25813" w:rsidRPr="007C6A77" w:rsidRDefault="00BB2D2A" w:rsidP="00AF047A">
      <w:pPr>
        <w:pStyle w:val="ECHRPara"/>
      </w:pPr>
      <w:r w:rsidRPr="007C6A77">
        <w:fldChar w:fldCharType="begin"/>
      </w:r>
      <w:r w:rsidR="00F25813" w:rsidRPr="007C6A77">
        <w:instrText xml:space="preserve"> SEQ level0 \*arabic </w:instrText>
      </w:r>
      <w:r w:rsidRPr="007C6A77">
        <w:fldChar w:fldCharType="separate"/>
      </w:r>
      <w:r w:rsidR="00332D11">
        <w:rPr>
          <w:noProof/>
        </w:rPr>
        <w:t>257</w:t>
      </w:r>
      <w:r w:rsidRPr="007C6A77">
        <w:fldChar w:fldCharType="end"/>
      </w:r>
      <w:r w:rsidR="00F25813">
        <w:t xml:space="preserve">.  Mahkeme, işbirliği görevi göz önünde bulundurulduğunda, şüphelilerin teslim olmasını garantiye almak için makul tüm yöntemleri kullanması bakımından veya </w:t>
      </w:r>
      <w:r w:rsidR="008B4471">
        <w:t>“KKTC”</w:t>
      </w:r>
      <w:r w:rsidR="00F25813">
        <w:t xml:space="preserve"> veya Türkiye’ye tüm delilleri sunmayı reddetmesi yönünden Kıbrıs'ın Sözleşme’nin 2.maddesini usul yönünden ihlâl etmediği sonucuna varmıştır.</w:t>
      </w:r>
    </w:p>
    <w:p w:rsidR="00F25813" w:rsidRPr="00D047CA" w:rsidRDefault="00F25813" w:rsidP="00F25813">
      <w:pPr>
        <w:pStyle w:val="ECHRHeading6"/>
        <w:outlineLvl w:val="6"/>
      </w:pPr>
      <w:bookmarkStart w:id="53" w:name="_Toc430944111"/>
      <w:r>
        <w:t>(β)  </w:t>
      </w:r>
      <w:bookmarkEnd w:id="53"/>
      <w:r>
        <w:t>Türkiye</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258</w:t>
      </w:r>
      <w:r w:rsidRPr="007C6A77">
        <w:fldChar w:fldCharType="end"/>
      </w:r>
      <w:r w:rsidR="00F25813">
        <w:t xml:space="preserve">.  Mahkeme şimdi, şüphelilerin o dönemde </w:t>
      </w:r>
      <w:r w:rsidR="008B4471">
        <w:t>“KKTC”</w:t>
      </w:r>
      <w:r w:rsidR="00F25813">
        <w:t xml:space="preserve"> veya Türkiye'de olduğunu ve Kıbrıs’ın bu kişilerin teslim olmasını ve daha sonra iade edilmesini talep ettiğini göz önünde bulundurarak, Türkiye’nin Kıbrıs’la işbirliği yapma yükümlülüğüne uyup uymadığını tespit etmelidir.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259</w:t>
      </w:r>
      <w:r w:rsidRPr="007C6A77">
        <w:fldChar w:fldCharType="end"/>
      </w:r>
      <w:r w:rsidR="00F25813">
        <w:t xml:space="preserve">.  Mahkeme öncelikle, </w:t>
      </w:r>
      <w:r w:rsidR="00E562AE">
        <w:t>BMBG</w:t>
      </w:r>
      <w:r w:rsidR="00F25813">
        <w:t xml:space="preserve"> aracılığıyla bir anlaşma bulma girişimi sırasında </w:t>
      </w:r>
      <w:r w:rsidR="008B4471">
        <w:t>“KKTC”</w:t>
      </w:r>
      <w:r w:rsidR="00F25813">
        <w:t xml:space="preserve"> makamlarının, </w:t>
      </w:r>
      <w:r w:rsidR="00E562AE">
        <w:t>BMBG</w:t>
      </w:r>
      <w:r w:rsidR="00F25813">
        <w:t xml:space="preserve"> veya Türkiye aracılığıyla Kıbrıs’a şüphelileri teslim edemediklerini, çünkü yapmak için yasal veya anayasal bir temel bulunmadığını açıkça belirtmiştir. Özellikle, suçlanan Kıbrıslı Türklerin Kıbrıslı Türk hakimler tarafından yargılanmalarını zorunlu kılan 1960 Anayasasına itimat etmişlerdir (bk. yukarıdaki 112., 114., 120. ve 142. paragraflar). Türkiye ayrıca, beşinci şüpheliyi iade etmenin, bu kişinin Türk vatandaşı olması nedeniyle mümkün olmadığını ve kendi iç hukukuna göre, Türk vatandaşlarını iade etmenin mümkün olmadığını Interpol aracılığıyla belirtmiştir (bk. yukarıdaki 93. ve 138. paragraflar).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260</w:t>
      </w:r>
      <w:r w:rsidRPr="007C6A77">
        <w:fldChar w:fldCharType="end"/>
      </w:r>
      <w:r w:rsidR="00F25813">
        <w:t xml:space="preserve">.  Mahkeme ayrıca, </w:t>
      </w:r>
      <w:r w:rsidR="008B4471">
        <w:t>“KKTC”</w:t>
      </w:r>
      <w:r w:rsidR="00F25813">
        <w:t xml:space="preserve"> makamlarının, bir noktada, şüphelilerin iadesini değerlendirmek için bir şart olarak Kıbrıs'tan delil toplamanın gerekliliğinden bahsettiğini gözlemlemektedir (bk. yukarıdaki 110. paragraf). Mahkeme bu konuda, </w:t>
      </w:r>
      <w:r w:rsidR="008B4471">
        <w:t>“KKTC”</w:t>
      </w:r>
      <w:r w:rsidR="00F25813">
        <w:t xml:space="preserve">nin uluslararası bir Devlet olarak tanınmaması nedeniyle, </w:t>
      </w:r>
      <w:r w:rsidR="008B4471">
        <w:t>“KKTC”</w:t>
      </w:r>
      <w:r w:rsidR="00F25813">
        <w:t xml:space="preserve"> ile Kıbrıs arasında resmi bir iade prosedürünün olamayacağını ifade etmektedir. Her halükarda, </w:t>
      </w:r>
      <w:r w:rsidR="008B4471">
        <w:t>“KKTC”</w:t>
      </w:r>
      <w:r w:rsidR="00F25813">
        <w:t xml:space="preserve"> makamlarının Kıbrıs’tan bütün delilleri alma konusundaki ısrarı, şüphelilerin aleyhlerinde kovuşturma yürütmek için, bu kişilerin süregelen tutuklamalarını haklı çıkarma ihtiyaçları ile daha çok ilgiliydi. Mahkeme, bu şartlarda Kıbrıs'ın, yukarıda belirtilen 246.-255. paragraflarda belirtilen nedenlerle, </w:t>
      </w:r>
      <w:r w:rsidR="008B4471">
        <w:t>“KKTC”</w:t>
      </w:r>
      <w:r w:rsidR="00F25813">
        <w:t xml:space="preserve"> makamlarına tüm delilleri sağlamasının gerekmediğine karar vermiştir.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261</w:t>
      </w:r>
      <w:r w:rsidRPr="007C6A77">
        <w:fldChar w:fldCharType="end"/>
      </w:r>
      <w:r w:rsidR="00F25813">
        <w:t xml:space="preserve">.  Türkiye'nin Kıbrıs'la işbirliği yapma yükümlülüğüne uyup uymadığı sorusuna cevap vermek için Mahkeme, </w:t>
      </w:r>
      <w:r w:rsidR="00E562AE">
        <w:t>BMBG</w:t>
      </w:r>
      <w:r w:rsidR="00F25813">
        <w:t xml:space="preserve"> aracılığıyla </w:t>
      </w:r>
      <w:r w:rsidR="008B4471">
        <w:t>“KKTC”</w:t>
      </w:r>
      <w:r w:rsidR="00F25813">
        <w:t>den şüphelileri teslim etmesi için yapılan tüm çabalardan sonra Kıbrıs tarafından Kasım 2008’de altı şüphelinin iadesine dair yapılan taleplere odaklanmalıdır. Mahkeme, Türk Hükümeti’nin bu iade taleplerinin uygun kanallarla ibraz edilmediği için geçerli olmadığı yönündeki iddiasını daha önce reddetmiştir (bk. yukarıdaki 244. paragraf). Bu nedenle bu iddiayı, iade taleplerini incelememek için haklı bir sebep olarak kabul edemez.</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262</w:t>
      </w:r>
      <w:r w:rsidRPr="007C6A77">
        <w:fldChar w:fldCharType="end"/>
      </w:r>
      <w:r w:rsidR="00F25813">
        <w:t>.  Mahkeme, ilk olarak, Kıbrıs tarafından 4 Kasım 2008 tarihinde sunulan iade taleplerinin Türkiye tarafından dikkate alınmadığını belirtmek istemektedir. 11 Kasım 2008 tarihinde, iade talepleri ve Kıbrıs Adalet ve Kamu Düzeni Bakanlığından gelen nota, herhangi bir cevap alınmadan Türk Büyükelçiliğinin bir çalışanı tarafından Atina'daki Kıbrıs Büyükelçiliğine iade edilmiştir. Sözkonusu çalışan mektubu bırakmış ve aceleyle oradan ayrılmıştır. İkincisi, Türk Hükümeti 2008'deki iade talepleri konusunda Daire nezdinde sessiz kalmıştır. İade taleplerinin Suçluların İadesi Sözleşmesi uyarınca geçerli olmadığını yalnızca Büyük Daire önünde öne sürmüşlerdir.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263</w:t>
      </w:r>
      <w:r w:rsidRPr="007C6A77">
        <w:fldChar w:fldCharType="end"/>
      </w:r>
      <w:r w:rsidR="00F25813">
        <w:t>.  Yukarıda verilen ilkeler göz önünde bulundurulduğunda (bk. Yukarıdaki 238. ve 240. Paragraflar) ve Türkiye’nin iade talepleri konusundaki sessizliğinin iadeyi reddetmesi olarak anlaşılabileceğinden ötürü Mahkeme, Türk makamlarının, iadenin neden kendi mevzuatları veya Suçluların İadesi Sözleşmesi kapsamında kabul edilebilir olmadığını düşündüklerini belirtmelerinin beklenmiş olacağını düşünmektedir. Bu bakımdan Mahkeme, Suçluların İadesi Sözleşmesi’nin 18(1) ve (2). maddelerinin, iade konusundaki kararını talep eden Devlete bildirmesi ve reddetmesi durumunda böyle bir kararın nedenlerini sunması yönünde talep edilen Devlete yükümlülük getirdiğine dikkati çekmektedir. Bu Sözleşme’nin 13. maddesi aynı zamanda, talep eden Devlet tarafından iletilen bilgilerin talep edilen Devletin iade hakkında karar vermesini sağlamak için yeterli bulunmadığı tespit edilirse talep eden Devletin gerekli tamamlayıcı bilgileri talep etmesi gerektiğini öngörmektedir (bk. yukarıdaki 14. paragraf).</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264</w:t>
      </w:r>
      <w:r w:rsidRPr="007C6A77">
        <w:fldChar w:fldCharType="end"/>
      </w:r>
      <w:r w:rsidR="00F25813">
        <w:t>.  Mahkeme, 2. madde kapsamında işbirliği yapma yükümlülüğünün, bu hükümler ışığında okunması gerektiği ve dolayısıyla bir Devlete, kendi bölgesinde veya kendi yargı yetkisi dâhilinde bulunduğu bilinen, cinayet veya yasadışı öldürmelerden aranan şüphelilere ilişkin başka bir Akit Devletten gelen her türlü iade talebini inceleme ve bu talebe makul bir gerekçe sağlama yükümlülüğü getirmesi gerektiği düşüncesindedir.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265</w:t>
      </w:r>
      <w:r w:rsidRPr="007C6A77">
        <w:fldChar w:fldCharType="end"/>
      </w:r>
      <w:r w:rsidR="00F25813">
        <w:t>.  Bu değerlendirme, Mahkemenin, Türkiye’nin dava koşullarında gerekli asgari çabayı göstermediği ve dolayısıyla başvuranların akrabalarının ölümüyle ilgili etkin bir soruşturma yapılması için işbirliği yapma yükümlülüğüne uymadığı sonucuna varması için yeterlidir. Bu bulgu, Mahkemenin, davanın özel koşulları dâhilinde Türkiye’nin Kıbrıs tarafından talep edilen şüphelilerin birkaçını veya tamamını iade etmesinin gerekip gerekmediğini belirlemesinin gerekli olmadığını ortaya koymaktadır.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266</w:t>
      </w:r>
      <w:r w:rsidRPr="007C6A77">
        <w:fldChar w:fldCharType="end"/>
      </w:r>
      <w:r w:rsidR="00F25813">
        <w:t>.  Mahkeme, Türkiye'nin, Kıbrıs'ın iade taleplerine makul bir cevap verememesi nedeniyle, 2. Maddenin usule ilişkin yönü bağlamında işbirliği içinde olma görevini ihlâl ettiği sonucuna varmıştır.</w:t>
      </w:r>
    </w:p>
    <w:p w:rsidR="00F25813" w:rsidRPr="007C6A77" w:rsidRDefault="00F25813" w:rsidP="00F25813">
      <w:pPr>
        <w:pStyle w:val="ECHRHeading4"/>
      </w:pPr>
      <w:r>
        <w:t xml:space="preserve"> (c)  2. madde uyarınca usul yükümlülüğü konusunda genel sonuç</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267</w:t>
      </w:r>
      <w:r w:rsidRPr="007C6A77">
        <w:fldChar w:fldCharType="end"/>
      </w:r>
      <w:r w:rsidR="00F25813">
        <w:t>.  Yukarıdaki bulgular göz önünde bulundurulduğunda (221. ve 257. paragraflar), Mahkeme, Kıbrıs tarafından Sözleşme'nin 2. maddesinin usul yönünden ihlâl edilmediğine karar vermiştir.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268</w:t>
      </w:r>
      <w:r w:rsidRPr="007C6A77">
        <w:fldChar w:fldCharType="end"/>
      </w:r>
      <w:r w:rsidR="00F25813">
        <w:t>.  Türkiye'nin Kıbrıs ile işbirliği yapma yükümlülüğünü ihlâl ettiği gerekçesiyle (yukarıdaki 266. paragraf), Mahkeme, usul yönünden Sözleşme'nin 2. maddesinin Türkiye tarafından bir ihlâlinin mevcut olduğuna karar vermiştir.</w:t>
      </w:r>
    </w:p>
    <w:p w:rsidR="00F25813" w:rsidRPr="007C6A77" w:rsidRDefault="00F25813" w:rsidP="00F25813">
      <w:pPr>
        <w:pStyle w:val="ECHRHeading1"/>
      </w:pPr>
      <w:r>
        <w:t>II. 2. MADDE İLE BİRLİKTE ELE ALINDIĞINDA SÖZLEŞME’NİN 13. MADDESİNİN İHLAL EDİLDİĞİ İDDİASI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269</w:t>
      </w:r>
      <w:r w:rsidRPr="007C6A77">
        <w:fldChar w:fldCharType="end"/>
      </w:r>
      <w:r w:rsidR="00F25813">
        <w:t xml:space="preserve">.  Başvuranlar, Sözleşme’nin 13. maddesi gereğince 2. madde kapsamındaki </w:t>
      </w:r>
      <w:r w:rsidR="00BC1DC1">
        <w:t>şikâyetlerine</w:t>
      </w:r>
      <w:r w:rsidR="00F25813">
        <w:t xml:space="preserve"> ilişkin olarak etkin bir hukuk yolunun olmadığı yönünde şikâyette bulunmuşlardır. Süregelen siyasi sorunların mevcut yerel adli mekanizmaları etkisiz hale getirdiğini ve verimli bir soruşturmanın yürütülmesini engellediğini iddia etmişlerdir.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270</w:t>
      </w:r>
      <w:r w:rsidRPr="007C6A77">
        <w:fldChar w:fldCharType="end"/>
      </w:r>
      <w:r w:rsidR="00F25813">
        <w:t>.  13. madde aşağıdaki şekildedir:</w:t>
      </w:r>
    </w:p>
    <w:p w:rsidR="00F25813" w:rsidRPr="006515E8" w:rsidRDefault="00F25813" w:rsidP="00A936F2">
      <w:pPr>
        <w:pStyle w:val="JuQuotSub"/>
      </w:pPr>
      <w:r>
        <w:t xml:space="preserve"> </w:t>
      </w:r>
      <w:r w:rsidRPr="006515E8">
        <w:t xml:space="preserve">Bu Sözleşme’de tanınmış olan hak ve özgürlükleri ihlal edilen herkes, </w:t>
      </w:r>
      <w:r w:rsidR="00E154EF" w:rsidRPr="006515E8">
        <w:t>sözkonusu</w:t>
      </w:r>
      <w:r w:rsidRPr="006515E8">
        <w:t xml:space="preserve"> ihlal resmi bir hizmetin ifası için davranan kişiler tarafından gerçekleştirilmiş olsa dahi, ulusal bir merci önünde etkili bir yola başvurma hakkına sahiptir.</w:t>
      </w:r>
    </w:p>
    <w:p w:rsidR="00F25813" w:rsidRPr="007C6A77" w:rsidRDefault="00BB2D2A" w:rsidP="00F25813">
      <w:pPr>
        <w:pStyle w:val="ECHRPara"/>
        <w:rPr>
          <w:rFonts w:eastAsiaTheme="majorEastAsia"/>
        </w:rPr>
      </w:pPr>
      <w:r w:rsidRPr="007C6A77">
        <w:rPr>
          <w:rFonts w:eastAsiaTheme="majorEastAsia"/>
        </w:rPr>
        <w:fldChar w:fldCharType="begin"/>
      </w:r>
      <w:r w:rsidR="00F25813" w:rsidRPr="007C6A77">
        <w:rPr>
          <w:rFonts w:eastAsiaTheme="majorEastAsia"/>
        </w:rPr>
        <w:instrText xml:space="preserve"> SEQ level0 \*arabic </w:instrText>
      </w:r>
      <w:r w:rsidRPr="007C6A77">
        <w:rPr>
          <w:rFonts w:eastAsiaTheme="majorEastAsia"/>
        </w:rPr>
        <w:fldChar w:fldCharType="separate"/>
      </w:r>
      <w:r w:rsidR="00332D11">
        <w:rPr>
          <w:rFonts w:eastAsiaTheme="majorEastAsia"/>
          <w:noProof/>
        </w:rPr>
        <w:t>271</w:t>
      </w:r>
      <w:r w:rsidRPr="007C6A77">
        <w:rPr>
          <w:rFonts w:eastAsiaTheme="majorEastAsia"/>
        </w:rPr>
        <w:fldChar w:fldCharType="end"/>
      </w:r>
      <w:r w:rsidR="00F25813">
        <w:t xml:space="preserve">.  Daire, her iki Devlet tarafından usul yönünden 2. maddenin ihlâl edildiğine dair bulgusunu göz önünde bulundurarak, 13. madde kapsamında başvuranların </w:t>
      </w:r>
      <w:r w:rsidR="00BC1DC1">
        <w:t>şikâyetlerinin</w:t>
      </w:r>
      <w:r w:rsidR="00F25813">
        <w:t xml:space="preserve"> ayrı ayrı incelenmesi ihtiyacı olmadığını değerlendirmiştir.</w:t>
      </w:r>
    </w:p>
    <w:p w:rsidR="00F25813" w:rsidRPr="007C6A77" w:rsidRDefault="00BB2D2A" w:rsidP="00F25813">
      <w:pPr>
        <w:pStyle w:val="ECHRPara"/>
        <w:rPr>
          <w:rFonts w:eastAsiaTheme="majorEastAsia"/>
        </w:rPr>
      </w:pPr>
      <w:r w:rsidRPr="007C6A77">
        <w:rPr>
          <w:rFonts w:eastAsiaTheme="majorEastAsia"/>
        </w:rPr>
        <w:fldChar w:fldCharType="begin"/>
      </w:r>
      <w:r w:rsidR="00F25813" w:rsidRPr="007C6A77">
        <w:rPr>
          <w:rFonts w:eastAsiaTheme="majorEastAsia"/>
        </w:rPr>
        <w:instrText xml:space="preserve"> SEQ level0 \*arabic </w:instrText>
      </w:r>
      <w:r w:rsidRPr="007C6A77">
        <w:rPr>
          <w:rFonts w:eastAsiaTheme="majorEastAsia"/>
        </w:rPr>
        <w:fldChar w:fldCharType="separate"/>
      </w:r>
      <w:r w:rsidR="00332D11">
        <w:rPr>
          <w:rFonts w:eastAsiaTheme="majorEastAsia"/>
          <w:noProof/>
        </w:rPr>
        <w:t>272</w:t>
      </w:r>
      <w:r w:rsidRPr="007C6A77">
        <w:rPr>
          <w:rFonts w:eastAsiaTheme="majorEastAsia"/>
        </w:rPr>
        <w:fldChar w:fldCharType="end"/>
      </w:r>
      <w:r w:rsidR="00F25813">
        <w:t>.  Davalı Hükümetler bu iddiayı ele almamıştır.</w:t>
      </w:r>
    </w:p>
    <w:p w:rsidR="00F25813" w:rsidRPr="007C6A77" w:rsidRDefault="00BB2D2A" w:rsidP="00F25813">
      <w:pPr>
        <w:pStyle w:val="ECHRPara"/>
        <w:rPr>
          <w:rFonts w:eastAsiaTheme="majorEastAsia"/>
        </w:rPr>
      </w:pPr>
      <w:r w:rsidRPr="007C6A77">
        <w:rPr>
          <w:rFonts w:eastAsiaTheme="majorEastAsia"/>
        </w:rPr>
        <w:fldChar w:fldCharType="begin"/>
      </w:r>
      <w:r w:rsidR="00F25813" w:rsidRPr="007C6A77">
        <w:rPr>
          <w:rFonts w:eastAsiaTheme="majorEastAsia"/>
        </w:rPr>
        <w:instrText xml:space="preserve"> SEQ level0 \*arabic </w:instrText>
      </w:r>
      <w:r w:rsidRPr="007C6A77">
        <w:rPr>
          <w:rFonts w:eastAsiaTheme="majorEastAsia"/>
        </w:rPr>
        <w:fldChar w:fldCharType="separate"/>
      </w:r>
      <w:r w:rsidR="00332D11">
        <w:rPr>
          <w:rFonts w:eastAsiaTheme="majorEastAsia"/>
          <w:noProof/>
        </w:rPr>
        <w:t>273</w:t>
      </w:r>
      <w:r w:rsidRPr="007C6A77">
        <w:rPr>
          <w:rFonts w:eastAsiaTheme="majorEastAsia"/>
        </w:rPr>
        <w:fldChar w:fldCharType="end"/>
      </w:r>
      <w:r w:rsidR="00F25813">
        <w:t xml:space="preserve">.  Yukarıdaki sonuçlara istinaden (bk. 267. ve 268. paragraflar ), Mahkeme, Sözleşme’nin 2. maddesi ile birlikte ele alındığında Sözleşme’nin 13. maddesi uyarınca başvuranların </w:t>
      </w:r>
      <w:r w:rsidR="00BC1DC1">
        <w:t>şikâyetinin</w:t>
      </w:r>
      <w:r w:rsidR="00F25813">
        <w:t xml:space="preserve"> ayrı ayrı incelenmesine gerek olmadığını düşünmektedir.</w:t>
      </w:r>
    </w:p>
    <w:p w:rsidR="00F25813" w:rsidRPr="007C6A77" w:rsidRDefault="00F25813" w:rsidP="00F25813">
      <w:pPr>
        <w:pStyle w:val="ECHRHeading1"/>
      </w:pPr>
      <w:r>
        <w:t>III. SÖZLEŞME’NİN 41. MADDESİNİN UYGULANMASI HAKKINDA</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274</w:t>
      </w:r>
      <w:r w:rsidRPr="007C6A77">
        <w:fldChar w:fldCharType="end"/>
      </w:r>
      <w:r w:rsidR="00F25813">
        <w:t>.  Sözleşme’nin 41. maddesi şunu öngörmektedir:</w:t>
      </w:r>
    </w:p>
    <w:p w:rsidR="00F25813" w:rsidRPr="007C6A77" w:rsidRDefault="00F25813" w:rsidP="00A936F2">
      <w:pPr>
        <w:pStyle w:val="ECHRParaQuote"/>
      </w:pPr>
      <w:r>
        <w:t>“Eğer Mahkeme bu Sözleşme ve Protokollerinin ihlal edildiğine karar verirse ve ilgili Yüksek Sözleşmeci Taraf’ın iç hukuku bu ihlalin sonuçlarını ancak kısmen ortadan kaldırabiliyorsa, Mahkeme, gerektiği takdirde, zarar gören taraf lehine adil bir tazmin verilmesine hükmeder.”</w:t>
      </w:r>
    </w:p>
    <w:p w:rsidR="00F25813" w:rsidRPr="007C6A77" w:rsidRDefault="00F25813" w:rsidP="00F25813">
      <w:pPr>
        <w:pStyle w:val="ECHRHeading2"/>
        <w:keepLines w:val="0"/>
        <w:outlineLvl w:val="0"/>
      </w:pPr>
      <w:r>
        <w:t>A.  Tazminat</w:t>
      </w:r>
    </w:p>
    <w:p w:rsidR="00F25813" w:rsidRPr="007C6A77" w:rsidRDefault="00F25813" w:rsidP="00F25813">
      <w:pPr>
        <w:pStyle w:val="ECHRHeading3"/>
      </w:pPr>
      <w:r>
        <w:t>1.  Maddi tazminat</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275</w:t>
      </w:r>
      <w:r w:rsidRPr="007C6A77">
        <w:fldChar w:fldCharType="end"/>
      </w:r>
      <w:r w:rsidR="00F25813">
        <w:t>.  Daire kovuşturmalarında, başvuranlar maddi tazminat ile</w:t>
      </w:r>
      <w:r w:rsidR="006515E8">
        <w:t xml:space="preserve"> ilgili olarak 40.000 Avro </w:t>
      </w:r>
      <w:r w:rsidR="00F25813">
        <w:t>talep etmiştir. Bu tutar, birinci başvuranın hayatını korumak için yaptığı giderleri temsil etmektedir: ev güvenliği, bir koruma görevlisinin istihdamı (2009 yılında öldürülmüştür), canına yönelik bir kasttan sonra yurt dışına yapılan seyahatlerin masrafları, şahsını savunmak amacıyla bir ateşli silah bulundurduğu için aleyhine açılan yasal girişimlerdeki mahkeme masrafları. Başvuranlar, yukarıda belirtilen tutarın, talep edilen masrafları ispatlayan herhangi bir belge bulunmadığı için “aşağı yukarı olarak” hesaplandığını belirtmiştir. Türk Hükümeti, talep edilen maddi tazminat ile başvuranın yaşam hakkıyla hiçbir ilgisi olmayan başvurunun konusu arasında nedensel bir bağlantı olmadığını belirtmiştir.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276</w:t>
      </w:r>
      <w:r w:rsidRPr="007C6A77">
        <w:fldChar w:fldCharType="end"/>
      </w:r>
      <w:r w:rsidR="00F25813">
        <w:t>.  Daire, başvuranların maddi tazminat talebinin dayanaktan yoksun olduğuna karar vererek bu talebi reddetmiştir.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277</w:t>
      </w:r>
      <w:r w:rsidRPr="007C6A77">
        <w:fldChar w:fldCharType="end"/>
      </w:r>
      <w:r w:rsidR="00F25813">
        <w:t>.  Türk Hükümeti, Büyük Daireyi başvuranlara herhangi bir adil tazminde bulunmamaya davet etmiştir.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278</w:t>
      </w:r>
      <w:r w:rsidRPr="007C6A77">
        <w:fldChar w:fldCharType="end"/>
      </w:r>
      <w:r w:rsidR="00F25813">
        <w:t>.  Büyük Daire, Dairenin değerlendirmesine katılmaktadır. Bu nedenle bu iddiayı reddetmektedir.</w:t>
      </w:r>
    </w:p>
    <w:p w:rsidR="00F25813" w:rsidRPr="007C6A77" w:rsidRDefault="00F25813" w:rsidP="00F25813">
      <w:pPr>
        <w:pStyle w:val="ECHRHeading3"/>
      </w:pPr>
      <w:r>
        <w:t>2.  Manevi tazminat</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279</w:t>
      </w:r>
      <w:r w:rsidRPr="007C6A77">
        <w:fldChar w:fldCharType="end"/>
      </w:r>
      <w:r w:rsidR="00F25813">
        <w:t>.  Daire kovuşturmalarında başvuranlar, manevi tazminat olarak her bir davalı Hükümetten 400.000 Avro olmak üzere toplam 800.000 Avro talep etmiştir. Bu tutar, birinci başvuranın her bir Hükümetten 100.000 Avro, diğer başvuranların da her biri için 50.000 Avro talebinden oluşmuştur. Başvuranlar, ailelerine karşı işlenen suçun ağırlığı ve davalı Hükümetlerin makamlarının işbirliği yapmamaları ve failleri adalete teslim edememeleri nedeniyle dayanılmaz bir ıstırap, acı, travma ve hayal kırıklığı yaşadıklarını vurgulamışlardır. Başvuranlar, kendilerine tam bir duyarsızlık ve kayıtsızlık içinde muamele edildiğini vurgulamıştır. Mahkemeyi, uğradıkları büyük zararı telafi edemeyecek dahi olsa, davalı hükümetlerin kayıtsız tutumlarını, hatırı sayılır miktarda tazminat yoluyla cezalandırmaya davet etmiştir. Ayrıca, davalı Hükümetlerin cinayetlerin sorumlularını soruşturma, yakalama, kovuşturma ve cezalandırmadaki başarısızlığının bir sonucu olarak, başvuranlar, özellikle de ilk başvuran, hayatları konusunda endişe etmiş ve hayatlarını kalıcı bir korku ve endişe ortamında sürdürmüşlerdir. Birinci başvuranın hayatına kast edilmiş ve koruma görevlisi öldürülmüştür. Ayrıca, işbirliği yapılmadığı için birinci başvuran, ölümleri takip eden günler ve aylar boyunca çeşitli makamlar arasında aracılık yapmak zorunda kalmıştır. Bu nedenlerden dolayı, birinci başvuranın bu başlık altındaki hak iddiası daha yüksekti.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280</w:t>
      </w:r>
      <w:r w:rsidRPr="007C6A77">
        <w:fldChar w:fldCharType="end"/>
      </w:r>
      <w:r w:rsidR="00F25813">
        <w:t xml:space="preserve">.  Türk Hükümetinin Daire huzurundaki beyanına göre, Mahkeme, tazmin edilecek bir ihlâl bulunmadığı için, manevi tazminat vermeyi kabul etmemelidir. Bununla birlikte, Mahkeme aksini tespit etseydi, ihlâl olduğu yönünde bir tespit kendi içinde manevi tazminat iddialarına ilişkin yeterli bir adil tazmin oluştururdu. Her halükarda, herhangi bir adil tazmin, haksız zenginleşmeye yol açmamalıdır. Başvuranlar tarafından talep edilen tutarlar, aşırı, haksız ve benzer davalarda Mahkeme tarafından verilenlerle bağdaşmamaktadır. Mahkemenin dikkatini </w:t>
      </w:r>
      <w:r w:rsidR="00F25813">
        <w:rPr>
          <w:i/>
        </w:rPr>
        <w:t xml:space="preserve">Solomou </w:t>
      </w:r>
      <w:r w:rsidR="00DA6FA8">
        <w:rPr>
          <w:i/>
        </w:rPr>
        <w:t xml:space="preserve">ve Diğerleri </w:t>
      </w:r>
      <w:r w:rsidR="00F25813">
        <w:rPr>
          <w:i/>
        </w:rPr>
        <w:t>/</w:t>
      </w:r>
      <w:r w:rsidR="00DA6FA8">
        <w:rPr>
          <w:i/>
        </w:rPr>
        <w:t xml:space="preserve"> </w:t>
      </w:r>
      <w:r w:rsidR="00F25813">
        <w:rPr>
          <w:i/>
        </w:rPr>
        <w:t>Türkiye</w:t>
      </w:r>
      <w:r w:rsidR="00F25813">
        <w:t xml:space="preserve">, </w:t>
      </w:r>
      <w:r w:rsidR="00964336">
        <w:t>No.</w:t>
      </w:r>
      <w:r w:rsidR="00F25813">
        <w:t xml:space="preserve"> 36832/97, § 101, 24 Haziran 2008, </w:t>
      </w:r>
      <w:r w:rsidR="00F25813">
        <w:rPr>
          <w:i/>
        </w:rPr>
        <w:t>Isaak /</w:t>
      </w:r>
      <w:r w:rsidR="00DA6FA8">
        <w:rPr>
          <w:i/>
        </w:rPr>
        <w:t xml:space="preserve"> </w:t>
      </w:r>
      <w:r w:rsidR="00F25813">
        <w:rPr>
          <w:i/>
        </w:rPr>
        <w:t>Türkiye,</w:t>
      </w:r>
      <w:r w:rsidR="00F25813">
        <w:t xml:space="preserve"> </w:t>
      </w:r>
      <w:r w:rsidR="00964336">
        <w:t>No.</w:t>
      </w:r>
      <w:r w:rsidR="00F25813">
        <w:t xml:space="preserve"> 44587/98, § 139, 24 Haziran 2008, ve </w:t>
      </w:r>
      <w:r w:rsidR="00F25813">
        <w:rPr>
          <w:i/>
        </w:rPr>
        <w:t>Kakoulli</w:t>
      </w:r>
      <w:r w:rsidR="00DA6FA8">
        <w:rPr>
          <w:i/>
        </w:rPr>
        <w:t xml:space="preserve"> </w:t>
      </w:r>
      <w:r w:rsidR="00F25813">
        <w:rPr>
          <w:i/>
        </w:rPr>
        <w:t>/</w:t>
      </w:r>
      <w:r w:rsidR="00DA6FA8">
        <w:rPr>
          <w:i/>
        </w:rPr>
        <w:t xml:space="preserve"> </w:t>
      </w:r>
      <w:r w:rsidR="00F25813">
        <w:rPr>
          <w:i/>
        </w:rPr>
        <w:t>Türkiye</w:t>
      </w:r>
      <w:r w:rsidR="00F25813">
        <w:t xml:space="preserve">, </w:t>
      </w:r>
      <w:r w:rsidR="00964336">
        <w:t>No.</w:t>
      </w:r>
      <w:r w:rsidR="00F25813">
        <w:t xml:space="preserve"> 38595/97, § 140, 22 Kasım 2005 davalarında verilen meblağlara çekmişlerdir.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281</w:t>
      </w:r>
      <w:r w:rsidRPr="007C6A77">
        <w:fldChar w:fldCharType="end"/>
      </w:r>
      <w:r w:rsidR="00F25813">
        <w:t>.  Daire, her iki davalı Hükümet tarafından usul yönünden 2. maddenin ihlâl edilmesinin bir sonucu olarak, başvuranların, sadece ihlâl tespiti ile telafi edilemeyecek bir manevi zarara uğradıklarına karar vermiştir. Mahkeme, hakkaniyet temelinde, her bir davalı Hükümet tarafından her bir başvurana, miktara yansıtılabilecek her türlü vergi hariç olmak üzere, 8.500 Avro ödenmesine karar vermiştir.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282</w:t>
      </w:r>
      <w:r w:rsidRPr="007C6A77">
        <w:fldChar w:fldCharType="end"/>
      </w:r>
      <w:r w:rsidR="00F25813">
        <w:t>.  Büyük Daire huzurunda başvuranlar, talepleri üzerinde yorumda bulunmamışlardır. Türk Hükümeti Büyük Daireyi yalnızca herhangi bir adil tazmin talebini reddetmeye davet etmiştir.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283</w:t>
      </w:r>
      <w:r w:rsidRPr="007C6A77">
        <w:fldChar w:fldCharType="end"/>
      </w:r>
      <w:r w:rsidR="00F25813">
        <w:t>.  Büyük Daire, başvuranların akrabalarının ölümüyle ilgili etkin bir soruşturma yapılması için Türkiye’nin işbirliği yapmaması nedeniyle 2. maddenin usul yönünden ihlal edildiğine dikkat çekmektedir. Tespit edilen ihlal sonucunda başvuranlar, sadece ihlâl tespiti ile telafi edilemeyecek manevi zarar görmüştür.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284</w:t>
      </w:r>
      <w:r w:rsidRPr="007C6A77">
        <w:fldChar w:fldCharType="end"/>
      </w:r>
      <w:r w:rsidR="00F25813">
        <w:t>.  Büyük Daire, tespit ettiği ihlâl nedenlerini ve davanın koşullarını dikkate alarak, hakkaniyete dayalı bir kararla, Sözleşme’nin 41. maddesinde öngörüldüğü üzere, başvuranların her birine Türkiye tarafından miktara yansıtılabilecek her türlü vergi hariç olmak üzere 8.500 Avro tazminatın ödenmesine karar vermiştir.</w:t>
      </w:r>
    </w:p>
    <w:p w:rsidR="00F25813" w:rsidRPr="007C6A77" w:rsidRDefault="00F25813" w:rsidP="00F25813">
      <w:pPr>
        <w:pStyle w:val="ECHRHeading2"/>
        <w:outlineLvl w:val="0"/>
      </w:pPr>
      <w:r>
        <w:t>Masraf ve giderler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285</w:t>
      </w:r>
      <w:r w:rsidRPr="007C6A77">
        <w:fldChar w:fldCharType="end"/>
      </w:r>
      <w:r w:rsidR="00F25813">
        <w:t xml:space="preserve">.  Başvuranlar, Daire huzurunda kovuşturmalar için avukatlık ücretleri ile ilgili olarak toplam 40.000 sterlin (GBP) talep etmiştir. Başvuranlar, bunun avukatları ile üzerinde anlaştıkları meblağ olduğunu belirtmiş ve dördüncü başvuran tarafından imzalanan 5 Aralık 2005 tarihli bir taahhüt mektubu (avukatlarının ücretinin öngörüldüğü) hazırlamıştır. Bu anlaşmaya göre, yukarıda belirtilen meblağ şu şekilde özetlenmiştir: Davalı Hükümetlerin makamları ve Kıbrıs'taki </w:t>
      </w:r>
      <w:r w:rsidR="00E562AE">
        <w:t>BMBG</w:t>
      </w:r>
      <w:r w:rsidR="00F25813">
        <w:t xml:space="preserve"> nezdinde temsilcileri tarafından yürütülen tüm çalışmalar için 20.000 GBP tutarında bir ücret; ve bir başvurunun yapıldığı durumda Mahkeme huzurunda yapılan gider ve masraflar için toplam 20.000 GBP. Bu bağlamda, anlaşma, kovuşturmaların her aşamasının toplam 7.000 GBP’ye mal olacağını öngörmüştür: Birinci aşama başvurunun dosyalanmasını; ikinci aşama başvurunun kabul edilebilir olduğu beyan edildiğinde ve dostça bir çözüm bulunması için yapılacak herhangi bir görüşme için, dilekçelerin hazırlanması için yapılacak işleri; üçüncü aşama bir uzlaşma sağlanamaması durumunda dava duruşmasında gözlem ve/veya temsilin hazırlanmasını içermektedir. Toplam 21.000 GBP, 20.000 GBP’ye yuvarlanmıştır. KDV tahsil edilmemektedir.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286</w:t>
      </w:r>
      <w:r w:rsidRPr="007C6A77">
        <w:fldChar w:fldCharType="end"/>
      </w:r>
      <w:r w:rsidR="00F25813">
        <w:t xml:space="preserve">.  Türk Hükümeti, ücret anlaşması uyarınca talep edilen meblağların şüpheli veya soyut ve dayanaktan yoksun olduğunu Daire huzurunda sunarak ileri sürmüştür. Gerçekleştirilen işi açıklayan herhangi bir zaman programı ve bu masrafları ispatlayan herhangi bir makbuz veya belge de ibraz edilmemiştir. Mahkemenin </w:t>
      </w:r>
      <w:r w:rsidR="00F25813">
        <w:rPr>
          <w:i/>
        </w:rPr>
        <w:t>Mohd</w:t>
      </w:r>
      <w:r w:rsidR="00DA6FA8">
        <w:rPr>
          <w:i/>
        </w:rPr>
        <w:t xml:space="preserve"> </w:t>
      </w:r>
      <w:r w:rsidR="00F25813">
        <w:rPr>
          <w:i/>
        </w:rPr>
        <w:t>/</w:t>
      </w:r>
      <w:r w:rsidR="00DA6FA8">
        <w:rPr>
          <w:i/>
        </w:rPr>
        <w:t xml:space="preserve"> </w:t>
      </w:r>
      <w:r w:rsidR="00F25813">
        <w:rPr>
          <w:i/>
        </w:rPr>
        <w:t>Yunanistan</w:t>
      </w:r>
      <w:r w:rsidR="00F25813">
        <w:t xml:space="preserve"> kararına atıfta bulunmuştur (</w:t>
      </w:r>
      <w:r w:rsidR="00964336">
        <w:t>No.</w:t>
      </w:r>
      <w:r w:rsidR="00F25813">
        <w:t xml:space="preserve"> 11919/03, §§ 29-32, 27 Nisan 2006). Başvuranlar, her halükarda, yerel düzeyde yapılan masrafları talep edemezken, Mahkemeye başvurma konusunda talep edilen meblağ da fazla olmuştur.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287</w:t>
      </w:r>
      <w:r w:rsidRPr="007C6A77">
        <w:fldChar w:fldCharType="end"/>
      </w:r>
      <w:r w:rsidR="00F25813">
        <w:t>.  Daire, başvurudan önce dördüncü başvuran tarafından imzalanan ücret anlaşmasının yalnızca ayrıntılandırılmamış tutarları belirttiğini kaydetmiştir. Gerçekleştirilen belirli işlere, çalışılan saatlere veya uygulanan saatlik ücrete değinilmemiştir. Başvuranlar, taleplerini doğrulayacak şekilde, ayrıntılı fiş veya fatura gibi başka herhangi bir destekleyici belge sunamamışlardır. Dolayısıyla Daire, bu başlık altında herhangi bir tazminat vermemiştir.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288</w:t>
      </w:r>
      <w:r w:rsidRPr="007C6A77">
        <w:fldChar w:fldCharType="end"/>
      </w:r>
      <w:r w:rsidR="00F25813">
        <w:t>.  Büyük Daire huzurunda başvuranlar, ilk 20.000 GBP tutarının yalnızca ödenecek tazminat başlığı altında tahsil edilebilir olduğunu ifade etmişlerdir. İkinci 20.000 GBP de tahsil edilebilir olmakla birlikte gerçekte yalnızca 10.000 GBP ödeme yapılmıştır. Başvuranlar ek olarak Büyük Daire huzurundaki kovuşturmalar için toplam 20.000 GBP tutarında bir talepte bulunmuşlardır. Bu kovuşturmalara ilişkin olarak, avukatlarının dava üzerinde saatlik 300 GBP olmak üzere, şunları ihtiva edecek şekilde toplam 50 saat çalıştığını sunmuşlardır: Kararın detaylı incelemesi 10 saat; başvuruların detaylı incelemesi 10 saat; tasarı oluşturma ve gözlemler 30 saat. Duruşmanın hazırlanması ve yürütülmesi için, 5.000 GBP tutarında ilave bir masraf ortaya çıkmıştır.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289</w:t>
      </w:r>
      <w:r w:rsidRPr="007C6A77">
        <w:fldChar w:fldCharType="end"/>
      </w:r>
      <w:r w:rsidR="00F25813">
        <w:t>.  Türk Hükümeti, bu konuda Büyük Daire huzuruna hiçbir gözlem sunmamıştır.</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290</w:t>
      </w:r>
      <w:r w:rsidRPr="007C6A77">
        <w:fldChar w:fldCharType="end"/>
      </w:r>
      <w:r w:rsidR="00F25813">
        <w:t xml:space="preserve">.  Büyük Daire, iç kovuşturmalar ve Daire kovuşturmalarına ilişkin masraf ve giderlere yönelik talepler konusunda Dairenin kararına tamamen katılmaktadır. Büyük Dairenin kovuşturmasına yönelik olarak Mahkeme, içtihadına göre, bir başvurana masraf ve giderlerin ödenmesine karar verilebilmesi için, bu masraf ve giderlerin gerçek, zorunlu ve miktar bakımından makul olduğunun ortaya konulması gerektiğine dikkati çeker. Ayrıca, masraf ve giderler yalnızca tespit edilen ihlâl ile ilişkili olduğu ölçüde tahsil edilebilir.(bk. </w:t>
      </w:r>
      <w:r w:rsidR="00F25813">
        <w:rPr>
          <w:i/>
        </w:rPr>
        <w:t>Denisov/Ukrayna</w:t>
      </w:r>
      <w:r w:rsidR="00F25813">
        <w:t xml:space="preserve"> [GC], </w:t>
      </w:r>
      <w:r w:rsidR="00964336">
        <w:t>No.</w:t>
      </w:r>
      <w:r w:rsidR="00F25813">
        <w:t xml:space="preserve"> 76639/11, § 146, 25 Eylül 2018). Mevcut davada Mahkeme, Kıbrıs’ın Sözleşme’nin herhangi bir ihlâlinden sorumlu olmadığını tespit etmiştir. Dolayısıyla bu davalı Devlete ilişkin bir masraf ve gider tazminatı ödenmeyecektir (bk. </w:t>
      </w:r>
      <w:r w:rsidR="00F25813">
        <w:rPr>
          <w:i/>
        </w:rPr>
        <w:t>Mozer,</w:t>
      </w:r>
      <w:r w:rsidR="00F25813">
        <w:t xml:space="preserve"> yukarıda anılan, § 239). Mahkeme, elindeki belgelerin ve yukarıda belirtilen kriterin ışığında, nezdinde gerçekleşen masraf ve giderlere ilişkin olarak ödeme tarihindeki döviz kuru üzerinden GBP’ye çevrilmek üzere 10.000 Avro tutarının başvuranlara ödenmesinin uygun olduğunu değerlendirmektedir.</w:t>
      </w:r>
    </w:p>
    <w:p w:rsidR="00F25813" w:rsidRPr="007C6A77" w:rsidRDefault="00F25813" w:rsidP="00F25813">
      <w:pPr>
        <w:pStyle w:val="ECHRHeading2"/>
        <w:outlineLvl w:val="0"/>
      </w:pPr>
      <w:r>
        <w:t>Gecikme Faizi</w:t>
      </w:r>
    </w:p>
    <w:p w:rsidR="00F25813" w:rsidRPr="007C6A77" w:rsidRDefault="00BB2D2A" w:rsidP="00F25813">
      <w:pPr>
        <w:pStyle w:val="ECHRPara"/>
      </w:pPr>
      <w:r w:rsidRPr="007C6A77">
        <w:fldChar w:fldCharType="begin"/>
      </w:r>
      <w:r w:rsidR="00F25813" w:rsidRPr="007C6A77">
        <w:instrText xml:space="preserve"> SEQ level0 \*arabic </w:instrText>
      </w:r>
      <w:r w:rsidRPr="007C6A77">
        <w:fldChar w:fldCharType="separate"/>
      </w:r>
      <w:r w:rsidR="00332D11">
        <w:rPr>
          <w:noProof/>
        </w:rPr>
        <w:t>291</w:t>
      </w:r>
      <w:r w:rsidRPr="007C6A77">
        <w:fldChar w:fldCharType="end"/>
      </w:r>
      <w:r w:rsidR="00F25813">
        <w:t>.  Mahkeme, gecikme faizi olarak Avrupa Merkez Bankası’nın kısa vadeli kredilere uyguladığı marjinal faiz oranına üç puan eklemek suretiyle elde edilecek oranın uygun olduğuna karar vermiştir.</w:t>
      </w:r>
    </w:p>
    <w:p w:rsidR="00F25813" w:rsidRPr="007C6A77" w:rsidRDefault="00F25813" w:rsidP="00F25813">
      <w:pPr>
        <w:pStyle w:val="ECHRPara"/>
      </w:pPr>
    </w:p>
    <w:p w:rsidR="00F25813" w:rsidRPr="007C6A77" w:rsidRDefault="00F25813" w:rsidP="00F25813">
      <w:pPr>
        <w:pStyle w:val="ECHRTitle1"/>
      </w:pPr>
      <w:r>
        <w:t>BU NEDENLERLE, MAHKEME,</w:t>
      </w:r>
    </w:p>
    <w:p w:rsidR="00F25813" w:rsidRPr="007C6A77" w:rsidRDefault="00F25813" w:rsidP="00F25813">
      <w:pPr>
        <w:pStyle w:val="JuList"/>
      </w:pPr>
      <w:r>
        <w:t xml:space="preserve">1.  Türk Hükümetinin yer bakımından uyuşmazlık (incompatibility </w:t>
      </w:r>
      <w:r>
        <w:rPr>
          <w:i/>
        </w:rPr>
        <w:t>ratione loci</w:t>
      </w:r>
      <w:r>
        <w:t xml:space="preserve">) ön itirazını oybirliği ile </w:t>
      </w:r>
      <w:r>
        <w:rPr>
          <w:i/>
        </w:rPr>
        <w:t>reddeder</w:t>
      </w:r>
      <w:r>
        <w:t>.</w:t>
      </w:r>
    </w:p>
    <w:p w:rsidR="00F25813" w:rsidRPr="007C6A77" w:rsidRDefault="00F25813" w:rsidP="00F25813">
      <w:pPr>
        <w:pStyle w:val="JuList"/>
      </w:pPr>
    </w:p>
    <w:p w:rsidR="00F25813" w:rsidRPr="007C6A77" w:rsidRDefault="00F25813" w:rsidP="00F25813">
      <w:pPr>
        <w:pStyle w:val="JuList"/>
      </w:pPr>
      <w:r>
        <w:t xml:space="preserve">2.  Sözleşme’nin 2. maddesinin Kıbrıs tarafından usul yönünden ihlâl edilmediğine iki oya karşılık on beş oyla </w:t>
      </w:r>
      <w:r>
        <w:rPr>
          <w:i/>
        </w:rPr>
        <w:t>karar verir;</w:t>
      </w:r>
    </w:p>
    <w:p w:rsidR="00F25813" w:rsidRPr="007C6A77" w:rsidRDefault="00F25813" w:rsidP="00F25813">
      <w:pPr>
        <w:pStyle w:val="JuList"/>
      </w:pPr>
    </w:p>
    <w:p w:rsidR="00F25813" w:rsidRPr="007C6A77" w:rsidRDefault="00F25813" w:rsidP="00F25813">
      <w:pPr>
        <w:pStyle w:val="JuList"/>
      </w:pPr>
      <w:r>
        <w:t xml:space="preserve">3.  İşbirliğinde başarısızlık nedeniyle, usul yönünden Sözleşme’nin 2. maddesinin Türkiye tarafından ihlâl edildiğine oybirliği ile </w:t>
      </w:r>
      <w:r>
        <w:rPr>
          <w:i/>
        </w:rPr>
        <w:t>karar verir;</w:t>
      </w:r>
    </w:p>
    <w:p w:rsidR="00F25813" w:rsidRPr="007C6A77" w:rsidRDefault="00F25813" w:rsidP="00F25813">
      <w:pPr>
        <w:pStyle w:val="JuList"/>
      </w:pPr>
    </w:p>
    <w:p w:rsidR="00F25813" w:rsidRPr="007C6A77" w:rsidRDefault="00F25813" w:rsidP="00F25813">
      <w:pPr>
        <w:pStyle w:val="JuList"/>
      </w:pPr>
      <w:r>
        <w:t xml:space="preserve">4.  Sözleşme’nin 2. maddesi ile birlikte ele alındığında Sözleşme’nin 13. maddesi kapsamındaki şikâyetin ayrı ayrı incelenmesine gerek olmadığına oybirliği ile </w:t>
      </w:r>
      <w:r>
        <w:rPr>
          <w:i/>
        </w:rPr>
        <w:t>karar verir;</w:t>
      </w:r>
    </w:p>
    <w:p w:rsidR="00F25813" w:rsidRPr="007C6A77" w:rsidRDefault="00F25813" w:rsidP="00F25813">
      <w:pPr>
        <w:pStyle w:val="JuList"/>
        <w:ind w:left="0" w:firstLine="0"/>
      </w:pPr>
    </w:p>
    <w:p w:rsidR="00F25813" w:rsidRPr="007C6A77" w:rsidRDefault="00F25813" w:rsidP="00F25813">
      <w:pPr>
        <w:pStyle w:val="JuList"/>
      </w:pPr>
      <w:r>
        <w:t xml:space="preserve">5.  Oybirliği ile aşağıdakilere </w:t>
      </w:r>
      <w:r>
        <w:rPr>
          <w:i/>
        </w:rPr>
        <w:t>karar verir:</w:t>
      </w:r>
    </w:p>
    <w:p w:rsidR="00F25813" w:rsidRPr="007C6A77" w:rsidRDefault="00F25813" w:rsidP="00F25813">
      <w:pPr>
        <w:pStyle w:val="JuLista"/>
      </w:pPr>
      <w:r>
        <w:t>(a) Türk Hükümetinin, üç ay içerisinde aşağıdaki meblağları ödemesine:</w:t>
      </w:r>
    </w:p>
    <w:p w:rsidR="00F25813" w:rsidRPr="007C6A77" w:rsidRDefault="00F25813" w:rsidP="00F25813">
      <w:pPr>
        <w:pStyle w:val="JuLista"/>
        <w:ind w:firstLine="374"/>
      </w:pPr>
      <w:r>
        <w:t>(i) Manevi tazminat olarak, miktara yansıtılabilecek her türlü vergi hariç olmak üzere, her birine 8.500 Avro (EUR) (sekiz bin beş yüz avro);</w:t>
      </w:r>
    </w:p>
    <w:p w:rsidR="00F25813" w:rsidRPr="007C6A77" w:rsidRDefault="00F25813" w:rsidP="00F25813">
      <w:pPr>
        <w:pStyle w:val="JuLista"/>
        <w:ind w:firstLine="374"/>
      </w:pPr>
      <w:r>
        <w:t>(ii) Masraf ve giderlere ilişkin olarak, miktara yansıtılabilecek her türlü vergi hariç olmak üzere, ödeme tarihindeki döviz kuru üzer</w:t>
      </w:r>
      <w:r w:rsidR="00526AB6">
        <w:t>inden GBP’ye çevrilmek üzere 10.</w:t>
      </w:r>
      <w:r>
        <w:t>000 Avro (EUR) (on bin avro);</w:t>
      </w:r>
    </w:p>
    <w:p w:rsidR="00F25813" w:rsidRPr="007C6A77" w:rsidRDefault="00F25813" w:rsidP="00F25813">
      <w:pPr>
        <w:pStyle w:val="JuLista"/>
      </w:pPr>
      <w:r>
        <w:t>(b)  Yukarıda bahsi geçen üç aylık sürenin bittiği tarihten itibaren, ödeme gününe kadar, Avrupa Merkez Bankası’nın kısa vadeli kredilere uyguladığı marjinal faiz oranına üç puan eklemek suretiyle elde edilecek oranda, yukarıda bahsedilen meblağlara basit faiz uygulanmasına;</w:t>
      </w:r>
    </w:p>
    <w:p w:rsidR="00F25813" w:rsidRPr="007C6A77" w:rsidRDefault="00F25813" w:rsidP="00F25813">
      <w:pPr>
        <w:pStyle w:val="JuList"/>
      </w:pPr>
    </w:p>
    <w:p w:rsidR="00F25813" w:rsidRPr="007C6A77" w:rsidRDefault="00F25813" w:rsidP="00F25813">
      <w:pPr>
        <w:pStyle w:val="JuList"/>
      </w:pPr>
      <w:r>
        <w:t xml:space="preserve">6.  Başvuranların diğer adil tazmin taleplerini oybirliği ile </w:t>
      </w:r>
      <w:r>
        <w:rPr>
          <w:i/>
        </w:rPr>
        <w:t>reddeder.</w:t>
      </w:r>
    </w:p>
    <w:p w:rsidR="00F25813" w:rsidRPr="007C6A77" w:rsidRDefault="00F25813" w:rsidP="00F25813">
      <w:pPr>
        <w:pStyle w:val="JuParaLast"/>
      </w:pPr>
      <w:r>
        <w:t>İngilizce ve Fransızca düzenlenmiş ve 29 Ocak 2019 tarihinde Strazburg’da İnsan Hakları Binasında bir açık duruşmada hüküm verilmiştir.</w:t>
      </w:r>
    </w:p>
    <w:p w:rsidR="00F25813" w:rsidRPr="007C6A77" w:rsidRDefault="00F25813" w:rsidP="00F25813">
      <w:pPr>
        <w:pStyle w:val="JuSigned"/>
      </w:pPr>
      <w:r>
        <w:tab/>
        <w:t>Roderick Liddell</w:t>
      </w:r>
      <w:r>
        <w:tab/>
        <w:t>Guido Raimondi</w:t>
      </w:r>
      <w:r>
        <w:br/>
      </w:r>
      <w:r>
        <w:tab/>
        <w:t>Sekreter</w:t>
      </w:r>
      <w:r>
        <w:tab/>
        <w:t>Başkan</w:t>
      </w:r>
    </w:p>
    <w:p w:rsidR="00F25813" w:rsidRPr="007C6A77" w:rsidRDefault="00F25813" w:rsidP="00F25813">
      <w:pPr>
        <w:pStyle w:val="JuParaLast"/>
      </w:pPr>
      <w:r>
        <w:t>Sözleşme’nin 45. maddesinin 2. fıkrası ve Mahkeme İç Tüzüğü’nün 74. maddesinin 2. fıkrası uyarınca, bu Karara aşağıdaki ayrı görüşler eklenmiştir:</w:t>
      </w:r>
    </w:p>
    <w:p w:rsidR="00F25813" w:rsidRPr="007C6A77" w:rsidRDefault="00F25813" w:rsidP="00F25813">
      <w:pPr>
        <w:pStyle w:val="ECHRPara"/>
      </w:pPr>
      <w:r>
        <w:t>Yargıç Serghides’in mutabık görüşü;</w:t>
      </w:r>
    </w:p>
    <w:p w:rsidR="00F25813" w:rsidRPr="007C6A77" w:rsidRDefault="00F25813" w:rsidP="00F25813">
      <w:pPr>
        <w:pStyle w:val="ECHRPara"/>
      </w:pPr>
      <w:r>
        <w:t>Yargıçlar Karakaş ve Pejchal’ın müşterek kısmi muhalefet şerhi.</w:t>
      </w:r>
    </w:p>
    <w:p w:rsidR="00AC2B71" w:rsidRPr="007C6A77" w:rsidRDefault="00F25813" w:rsidP="00AC2B71">
      <w:pPr>
        <w:pStyle w:val="JuInitialled"/>
      </w:pPr>
      <w:r>
        <w:t>G.R.</w:t>
      </w:r>
      <w:r>
        <w:br/>
        <w:t>R.L.</w:t>
      </w:r>
    </w:p>
    <w:p w:rsidR="00AC2B71" w:rsidRDefault="00AC2B71" w:rsidP="00EB447C">
      <w:pPr>
        <w:rPr>
          <w:rFonts w:ascii="Times New Roman" w:hAnsi="Times New Roman" w:cs="Times New Roman"/>
          <w:highlight w:val="yellow"/>
        </w:rPr>
      </w:pPr>
    </w:p>
    <w:p w:rsidR="007C4171" w:rsidRDefault="007C4171" w:rsidP="00EB447C">
      <w:pPr>
        <w:rPr>
          <w:rFonts w:ascii="Times New Roman" w:hAnsi="Times New Roman" w:cs="Times New Roman"/>
          <w:highlight w:val="yellow"/>
        </w:rPr>
      </w:pPr>
    </w:p>
    <w:p w:rsidR="00DB0552" w:rsidRPr="007C6A77" w:rsidRDefault="00DB0552" w:rsidP="00EB447C">
      <w:pPr>
        <w:rPr>
          <w:rFonts w:ascii="Times New Roman" w:hAnsi="Times New Roman" w:cs="Times New Roman"/>
          <w:highlight w:val="yellow"/>
        </w:rPr>
        <w:sectPr w:rsidR="00DB0552" w:rsidRPr="007C6A77">
          <w:headerReference w:type="even" r:id="rId13"/>
          <w:headerReference w:type="default" r:id="rId14"/>
          <w:footerReference w:type="default" r:id="rId15"/>
          <w:footnotePr>
            <w:numRestart w:val="eachSect"/>
          </w:footnotePr>
          <w:pgSz w:w="11906" w:h="16838" w:code="9"/>
          <w:pgMar w:top="2274" w:right="2274" w:bottom="2274" w:left="2274" w:header="1701" w:footer="720" w:gutter="0"/>
          <w:pgNumType w:start="1"/>
          <w:cols w:space="720"/>
        </w:sectPr>
      </w:pPr>
    </w:p>
    <w:p w:rsidR="00AC2B71" w:rsidRPr="007C6A77" w:rsidRDefault="00AC2B71" w:rsidP="00EB447C">
      <w:pPr>
        <w:rPr>
          <w:rFonts w:ascii="Times New Roman" w:hAnsi="Times New Roman" w:cs="Times New Roman"/>
          <w:highlight w:val="yellow"/>
        </w:rPr>
      </w:pPr>
    </w:p>
    <w:p w:rsidR="00121ED6" w:rsidRPr="007C6A77" w:rsidRDefault="00121ED6" w:rsidP="00121ED6">
      <w:pPr>
        <w:pStyle w:val="ECHRTitleCentre1"/>
      </w:pPr>
      <w:r>
        <w:t>YARGIÇ SERGHIDES’İN MUTABIK GÖRÜŞÜ</w:t>
      </w:r>
    </w:p>
    <w:p w:rsidR="005A79AD" w:rsidRPr="007C6A77" w:rsidRDefault="005A79AD" w:rsidP="005A79AD">
      <w:pPr>
        <w:pStyle w:val="OpiPara"/>
      </w:pPr>
      <w:r>
        <w:t xml:space="preserve">1.  Çoğunlukla aynı oyu kullandım ve dolayısıyla Daire sürecindeki kısmı muhalefet şerhimizde </w:t>
      </w:r>
      <w:r w:rsidR="0029793B">
        <w:t>Hâkim</w:t>
      </w:r>
      <w:r>
        <w:t xml:space="preserve"> Pere Pastor Vilanova ile vardığımız bir bulgu olan, sadece Türkiye’nin - Kıbrıs’ın değil - Sözleşme’nin 2. maddesinin usul yönünden ihlal ettiği kararına varan tüm hüküm fıkraları ile (</w:t>
      </w:r>
      <w:r w:rsidR="00964336">
        <w:t>No.</w:t>
      </w:r>
      <w:r>
        <w:t xml:space="preserve"> 1-6) mutabıkım.</w:t>
      </w:r>
    </w:p>
    <w:p w:rsidR="005A79AD" w:rsidRPr="007C6A77" w:rsidRDefault="005A79AD" w:rsidP="005A79AD">
      <w:pPr>
        <w:pStyle w:val="OpiPara"/>
      </w:pPr>
      <w:r>
        <w:t xml:space="preserve">2.  2. maddenin usulü yönünden Kıbrıs tarafında herhangi bir ihlal bulunmaması ve Türkiye tarafından bir ihlal bulunması konusunda kararın dayandırıldığı gerekçe ve argümanlar ile mutabık olmakla birlikte, özellikle Büyük Dairenin kararını destekleme açısından ilave ama oldukça güçlü gerekçeler sağlayabilecekleri için, dikkatimin Daire sürecinde kısmi muhalefet şerhimde ele aldığım ana meseleler, gerekçeler ve ilkelerden uzaklaştırılmasına, affınıza sığınarak, müsaade edemem. </w:t>
      </w:r>
    </w:p>
    <w:p w:rsidR="005A79AD" w:rsidRPr="007C6A77" w:rsidRDefault="005A79AD" w:rsidP="005A79AD">
      <w:pPr>
        <w:pStyle w:val="OpiPara"/>
      </w:pPr>
      <w:r>
        <w:t>3.  Bu nedenle, daha fazla altını çizmek istediğim bazı konular dışında tekrar tekrar detaylandırmadan mevcut mutabık görüşümü doğrulayan kısmi muhalefet şerhimin temelini oluşturan tüm bu sorunlara, gerekçelere, argümanlara ve ilkelere işaret edeceğim.</w:t>
      </w:r>
    </w:p>
    <w:p w:rsidR="005A79AD" w:rsidRPr="007C6A77" w:rsidRDefault="005A79AD" w:rsidP="005A79AD">
      <w:pPr>
        <w:pStyle w:val="OpiPara"/>
      </w:pPr>
      <w:r>
        <w:t xml:space="preserve">4.  Kısmi muhalefet şerhimdeki bulguların bir özetini Daire sürecine </w:t>
      </w:r>
      <w:r w:rsidR="007F3C38">
        <w:t>dâhil</w:t>
      </w:r>
      <w:r>
        <w:t xml:space="preserve"> ettiğim için, tekrar üstlerinden geçmem gerekmeyecek.</w:t>
      </w:r>
    </w:p>
    <w:p w:rsidR="005A79AD" w:rsidRPr="007C6A77" w:rsidRDefault="005A79AD" w:rsidP="005A79AD">
      <w:pPr>
        <w:pStyle w:val="OpiPara"/>
      </w:pPr>
      <w:r>
        <w:t xml:space="preserve">5.  Aşağıda daha detaylı açıklanacağı üzere, benim açımdan müteakip iki temel gerekçe Kıbrıs’ın değil sadece Türkiye’nin Sözleşme’nin 2. maddesini usul yönünden ihlal ettiği kararına varmak açısından yeterli olacaktır: (a) İyi niyetten kaynaklanmayan nedenlerle Türkiye, Sözleşme’nin 2. maddesi kapsamındaki yükümlülüğünün aksine, Kıbrıs’ın Türkiye’nin işgali ve etkin kontrolü altında bulunmayan bölümünde gerçekleşen cinayete ilişkin Kıbrıs ile işbirliği yapma konusunda istekli değildi ve (b) Kıbrıs’ın tanımama ilkesi kapsamında </w:t>
      </w:r>
      <w:r w:rsidR="008B4471">
        <w:t>“KKTC”</w:t>
      </w:r>
      <w:r>
        <w:t xml:space="preserve"> mahkemelerinin cinayet şüphelilerini yargılayabilmeleri için </w:t>
      </w:r>
      <w:r w:rsidR="008B4471">
        <w:t>“KKTC”</w:t>
      </w:r>
      <w:r>
        <w:t xml:space="preserve"> makamlarına tüm kanıtlarını iletme yükümlülüğü bulunmamaktaydı. </w:t>
      </w:r>
    </w:p>
    <w:p w:rsidR="005A79AD" w:rsidRPr="007C6A77" w:rsidRDefault="005A79AD" w:rsidP="005A79AD">
      <w:pPr>
        <w:pStyle w:val="OpiHA"/>
      </w:pPr>
      <w:r>
        <w:t>İyi niyet ve etkililik ilkeleri</w:t>
      </w:r>
    </w:p>
    <w:p w:rsidR="005A79AD" w:rsidRPr="007C6A77" w:rsidRDefault="005A79AD" w:rsidP="005A79AD">
      <w:pPr>
        <w:pStyle w:val="OpiPara"/>
      </w:pPr>
      <w:r>
        <w:t>6.  Yukarıdakileri belirttikten sonra, daha fazla detaylandırılması gereken önemli bir konu da, Sözleşme’nin 2. maddesini yorumlama ve uygulamada ve özellikle de yaşam hakkını ve oradan kaynaklanabilecek belirli yükümlülükleri güvence altına almak için 2. madde kapsamında (aynı zamanda Sözleşme’nin 1. maddesi ile bağlantılı olarak okuyunuz) bir Devletin pozitif usul yükümlülüğü hususunda iyi niyet ve etkililik ilkelerinin rolüdür: (a) soruşturma yapmaya ilişkin usul yükümlülüğü ve (b) işbirliğinde bulunmaya ilişkin usul yükümlülüğü. Görüleceği üzere, konu mevcut davada hiçbir şekilde teoride değil, pratikte büyük önem arz etmektedir.</w:t>
      </w:r>
    </w:p>
    <w:p w:rsidR="005A79AD" w:rsidRPr="007C6A77" w:rsidRDefault="005A79AD" w:rsidP="005A79AD">
      <w:pPr>
        <w:pStyle w:val="OpiPara"/>
      </w:pPr>
      <w:r>
        <w:t>7.  İki veya daha fazla Devlet arasında bir cinayet konusunda işbirliği yapmaya ilişkin usul yükümlülüğü, yaşam hakkını güvence altına almak için Sözleşme’nin 1. ve 2. maddeleri kapsamında ilgili Devletlerin pozitif usul yükümlülüklerinin belirli bir boyutu olan soruşturmaya ilişkin usul yükümlülüğünün belirli bir boyutudur. Bu yükümlülükler, esasen etkililik ilkesine dayalı olan veya başka bir deyişle yaşam hakkının korunmasının</w:t>
      </w:r>
      <w:r>
        <w:rPr>
          <w:rStyle w:val="DipnotBavurusu"/>
          <w:rFonts w:cstheme="minorHAnsi"/>
        </w:rPr>
        <w:footnoteReference w:id="3"/>
      </w:r>
      <w:r>
        <w:t xml:space="preserve"> uygulanabilir ve etkin olmasını gerektiren hakların etkin korunması ilkesine dayalı olan içtihat hukukundan kaynaklanmaktadır. Bu pozitif yükümlülükler ile etkililik ilkesi arasındaki ilişkinin, çocuk ile ataları arasındaki akrabalığa benzediği söylenebilir. </w:t>
      </w:r>
    </w:p>
    <w:p w:rsidR="005A79AD" w:rsidRPr="007C6A77" w:rsidRDefault="005A79AD" w:rsidP="005A79AD">
      <w:pPr>
        <w:pStyle w:val="OpiPara"/>
      </w:pPr>
      <w:r>
        <w:t>8.  İyi niyet, “bir anlaşma, hükümlerine anlaşmanın bütünü içinde ve konu ve amacının ışığında verilecek alelade manaya uygun şekilde iyi niyetle yorumlanır.” maddesini şart koşan Viyana Andlaşmalar Hukuku Sözleşmesi’nin (VAHS) 31 § 1 maddesi kapsamında zaruri bir yorum unsurudur</w:t>
      </w:r>
      <w:r>
        <w:rPr>
          <w:rStyle w:val="DipnotBavurusu"/>
          <w:rFonts w:cstheme="minorHAnsi"/>
        </w:rPr>
        <w:footnoteReference w:id="4"/>
      </w:r>
      <w:r>
        <w:t xml:space="preserve">. Etkililik ilkesi, benim fikrime göre, içerik açısından benzemeyip </w:t>
      </w:r>
      <w:r>
        <w:rPr>
          <w:rStyle w:val="DipnotBavurusu"/>
          <w:rFonts w:cstheme="minorHAnsi"/>
        </w:rPr>
        <w:footnoteReference w:id="5"/>
      </w:r>
      <w:r>
        <w:t xml:space="preserve"> sadece örtüşüyor olmasına rağmen, iyi niyet gereksinimi dolaylı olarak anlaşılmaktadır. </w:t>
      </w:r>
    </w:p>
    <w:p w:rsidR="005A79AD" w:rsidRPr="007C6A77" w:rsidRDefault="005A79AD" w:rsidP="005A79AD">
      <w:pPr>
        <w:pStyle w:val="OpiPara"/>
      </w:pPr>
      <w:r>
        <w:t xml:space="preserve">9.  Bu iyi niyet ve etkililik ilkeleri, hukukun üstünlüğü ve demokrasi gibi Sözleşme’nin dayandığı diğer ilkelerle de birlikte, bir Sözleşme hükmünün amacı ve niyetinin boyutları veya parçaları ya da unsurlarıdır ve yorumlanırken ve uygulanırken göz önünde bulunulmalıdır. İyi niyet ilkesi sadece antlaşmanın kendi amacı ve niyetinden kaynaklanmakla kalmaz; bu ilkeden aynı zamanda bir anlaşma hükmünün, mevcut davada Sözleşme’nin 2. maddesinin, alelade anlamı uyarınca ve amacı ve niyeti ışığında yorumlanması gereken bir tutum olarak Viyana Anlaşmalar Hukuku Sözleşmesi’nin 31 § 1 maddesinde açıkça ifade edilmektedir. </w:t>
      </w:r>
    </w:p>
    <w:p w:rsidR="005A79AD" w:rsidRPr="007C6A77" w:rsidRDefault="005A79AD" w:rsidP="005A79AD">
      <w:pPr>
        <w:pStyle w:val="OpiPara"/>
      </w:pPr>
      <w:r>
        <w:t>10.  Yukarıda atıfta bulunulan bütün ilkeler aynı zamanda uluslararası hukuk kuralları ve standartlarıdır ve Viyana Anlaşmalar Hukuku Sözleşmesi’nin 31 § 3 maddesine binaen bir anlaşma hükmü bağlamıyla birlikte göz önünde bulundurulmalıdır</w:t>
      </w:r>
      <w:r>
        <w:rPr>
          <w:rStyle w:val="DipnotBavurusu"/>
        </w:rPr>
        <w:footnoteReference w:id="6"/>
      </w:r>
      <w:r>
        <w:t>.</w:t>
      </w:r>
    </w:p>
    <w:p w:rsidR="005A79AD" w:rsidRPr="007C6A77" w:rsidRDefault="005A79AD" w:rsidP="005A79AD">
      <w:pPr>
        <w:pStyle w:val="OpiPara"/>
      </w:pPr>
      <w:r>
        <w:t>11.  VAHS’nin Giriş kısmında da belirtildiği üzere, iyi niyet ilkesi evrensel olarak tanınmaktadır. Bu ilke, dürüstlük, adalet ve kabul edilebilirlik gerektirmektedir; hakların kötüye kullanılmasını ve haksız avantaj elde etmeyi yasaklamakta ve hukukun üstünlüğü kuralına etkin bir şekilde saygı duymak, yorumlamak ve uygulamak anlamına gelmektedir</w:t>
      </w:r>
      <w:r>
        <w:rPr>
          <w:rStyle w:val="DipnotBavurusu"/>
        </w:rPr>
        <w:footnoteReference w:id="7"/>
      </w:r>
      <w:r>
        <w:t>. “Taraf Devletlerin anlaşma aracılığıyla üstlendikleri özgün içeriği yanlış sunan görüşleri ve tutumları benimsemelerine” engel olmaktadır</w:t>
      </w:r>
      <w:r>
        <w:rPr>
          <w:rStyle w:val="DipnotBavurusu"/>
        </w:rPr>
        <w:footnoteReference w:id="8"/>
      </w:r>
      <w:r>
        <w:t>. Aynı zamanda Uluslararası Hukuk Komisyonu (UHK) aşağıdaki beyanlarda bulunmuştur: “Bir anlaşmanın iki yoruma açık olduğu ve bunlardan birinin antlaşmanın uygun etkilerinin olmasını sağladığı ve diğerinin de sağlamadığı durumda, iyi niyet ve anlaşmanın amaçları ve niyetleri önceki yorumun kabul edilmesini gerektirmektedir.”</w:t>
      </w:r>
      <w:r>
        <w:rPr>
          <w:rStyle w:val="DipnotBavurusu"/>
        </w:rPr>
        <w:footnoteReference w:id="9"/>
      </w:r>
      <w:r>
        <w:t xml:space="preserve"> Richard K. Gardiner tarafından bihakkın gözlemlendiği üzere, “Uluslararası Hukuk Komisyonu, 31(1). maddedeki iki unsur altında etkililik ilkesinin iki unsurunu da birlikte sınıflandırmıştır; bunlar ‘iyi niyet’ ve ‘amaç ve niyet’tir</w:t>
      </w:r>
      <w:r>
        <w:rPr>
          <w:rStyle w:val="DipnotBavurusu"/>
        </w:rPr>
        <w:footnoteReference w:id="10"/>
      </w:r>
      <w:r>
        <w:t>.</w:t>
      </w:r>
    </w:p>
    <w:p w:rsidR="005A79AD" w:rsidRPr="007C6A77" w:rsidRDefault="005A79AD" w:rsidP="005A79AD">
      <w:pPr>
        <w:pStyle w:val="OpiPara"/>
        <w:rPr>
          <w:rFonts w:cstheme="minorHAnsi"/>
        </w:rPr>
      </w:pPr>
      <w:r>
        <w:t xml:space="preserve">12.  Bir antlaşmanın bir Devlet tarafından onaylanması, anlaşma koşullarına bağlı olma rızasına ve böylelikle bu koşulların bulunması konusundaki farkındalığına işaret etmektedir. Bu, diğer tüm tarafların antlaşma konusundaki meşru beklentilerine sebebiyet vermektedir. Bu nedenle, antlaşma hükümlerinin bir Devlet tarafından yapılan yorumunun makul olma gibi bahsi geçen iyi niyet unsurlardan birinden veya daha fazlasından yoksun olması ve dolayısıyla </w:t>
      </w:r>
      <w:r>
        <w:rPr>
          <w:i/>
        </w:rPr>
        <w:t>hukuka aykırı</w:t>
      </w:r>
      <w:r>
        <w:t xml:space="preserve"> </w:t>
      </w:r>
      <w:r>
        <w:rPr>
          <w:i/>
        </w:rPr>
        <w:t xml:space="preserve">(contra legem) </w:t>
      </w:r>
      <w:r>
        <w:t>bir yorumla veya hükmün amacı veya niyetine aykırı bir yorumla sonuçlanması kendiliğinden olarak iyi niyetle yapılmamış bir yorum olarak değerlendirilebilir. Bir yazar tarafından bihakkın gözlemlendiği üzere, “uluslararası hukuk egemen devletlerin halet-i ruhiyesine çok büyük önem vermemektedir ve nadiren tahkikat yapılmasını gerektirmektedir.”</w:t>
      </w:r>
      <w:r>
        <w:rPr>
          <w:rStyle w:val="DipnotBavurusu"/>
        </w:rPr>
        <w:footnoteReference w:id="11"/>
      </w:r>
      <w:r>
        <w:t>.</w:t>
      </w:r>
    </w:p>
    <w:p w:rsidR="005A79AD" w:rsidRPr="007C6A77" w:rsidRDefault="005A79AD" w:rsidP="005A79AD">
      <w:pPr>
        <w:pStyle w:val="OpiPara"/>
        <w:rPr>
          <w:rFonts w:cstheme="minorHAnsi"/>
        </w:rPr>
      </w:pPr>
      <w:r>
        <w:t>13.  Anlaşma yorumunda iyi niyet ilkesini benimseyen VAHS’nin 31 § 1. maddesi dışında, VAHS’nin 18. maddesi, imzalanmış ve halen onaya tabi olan “bir anlaşmanın amacı ve niyetini bertaraf eden hareketlerden bir Devletin kaçınmakla yükümlü olduğunu” ayrıca öngörmektedir</w:t>
      </w:r>
      <w:r>
        <w:rPr>
          <w:rStyle w:val="DipnotBavurusu"/>
        </w:rPr>
        <w:footnoteReference w:id="12"/>
      </w:r>
      <w:r>
        <w:t>. Eğer bir Devletin imzaladığı fakat henüz onaylamadığı bir antlaşmanın amacını önlemek ve engellemek amacıyla planlanmış hareketlerden kaçınması gerekirse, Devlet antlaşmayı onayladığında aynı standart veya hatta daha yüksek bir standart uygulamalıdır. 18. madde, bir Devletin bir antlaşmaya taraf olması için, antlaşmaya uymaya gerçekten hazır olması gerektiğini işaret etmektedir</w:t>
      </w:r>
      <w:r>
        <w:rPr>
          <w:rStyle w:val="DipnotBavurusu"/>
        </w:rPr>
        <w:footnoteReference w:id="13"/>
      </w:r>
      <w:r>
        <w:t xml:space="preserve">. Bu, VAHS’nin 31 § 1 maddesi dışında, yorumlama ve uygulamada bir antlaşmanın amacının önemine işaret eden diğer bir hükümdür. </w:t>
      </w:r>
    </w:p>
    <w:p w:rsidR="005A79AD" w:rsidRPr="007C6A77" w:rsidRDefault="005A79AD" w:rsidP="005A79AD">
      <w:pPr>
        <w:pStyle w:val="OpiPara"/>
        <w:rPr>
          <w:rFonts w:cstheme="minorHAnsi"/>
        </w:rPr>
      </w:pPr>
      <w:r>
        <w:t>14.  Her ne kadar Sözleşme’de veya herhangi bir Protokolü’nde iyi niyet ilkesine bu şekilde değinilmese de, Sözleşme’nin Giriş bölümü, bana göre, iyi niyeti koşul olarak gerektiren “toplu bir şekilde uygulanmasın”dan bahsetmektedir</w:t>
      </w:r>
      <w:r>
        <w:rPr>
          <w:rStyle w:val="DipnotBavurusu"/>
        </w:rPr>
        <w:footnoteReference w:id="14"/>
      </w:r>
      <w:r>
        <w:t>. Ayrıca, Sözleşme, sırasıyla 17. ve 18. maddelerde, hakların kötüye kullanılmasını ve kısıtlamaların kötüye kullanılmasını yasaklamaktadır, bu yasaklar ayrıca iyi niyet ilkesinin de unsurlarıdır.</w:t>
      </w:r>
      <w:r>
        <w:rPr>
          <w:rFonts w:ascii="Times New Roman" w:eastAsiaTheme="minorHAnsi" w:hAnsi="Times New Roman"/>
        </w:rPr>
        <w:t xml:space="preserve"> </w:t>
      </w:r>
      <w:r>
        <w:t>Bunun yanında, Avrupa Konseyi Statüsü’nün 3. maddesinde, “Avrupa Konseyi’nin her üyesi.... ve 1. bölümde belirlenen Konsey amacının gerçekleşmesinde içten ve etkin bir biçimde işbirliği yapmayı üstlenir” hükmü öngörülmektedir. Benzer biçimde, Sözleşme’nin Giriş bölümü “Avrupa Konseyi’nin amacı üyeleri arasında daha büyük bir birliğin sağlanması ve bu amacın gerçekleştirilmesinin yöntemlerinden biri de insan hakları ve temel özgürlüklerinin sağlanması ve daha fazla gerçekleştirilmesidir” şeklinde öngörmektedir. “İçten” ve “etkin” işbirliği ilkesi, iyi niyet ve etkililiğe dayalı bir işbirliğinden başka bir şey değildir. Ayrıca, Statü’nün 4. maddesi, Avrupa Konseyi üyeliğinin, 3. maddede şart koşulduğu üzere, aday Devletin diğer tüm üyelerle “içten” ve “etkin” bir biçimde işbirliği yapma becerisine dayalı olduğunu işaret etmektedir. Son olarak, Statü’nün 8. maddesi 3. maddenin gerekliliklerine uymayan üye Devletler için ciddi cezalar (örneğin, üyeliğin askıya alınması ve üyelikten çıkarılma) öngörmektedir.</w:t>
      </w:r>
    </w:p>
    <w:p w:rsidR="005A79AD" w:rsidRPr="007C6A77" w:rsidRDefault="005A79AD" w:rsidP="005A79AD">
      <w:pPr>
        <w:pStyle w:val="OpiHA"/>
      </w:pPr>
      <w:r>
        <w:t>Tanımama ilkesi</w:t>
      </w:r>
    </w:p>
    <w:p w:rsidR="005A79AD" w:rsidRPr="007C6A77" w:rsidRDefault="005A79AD" w:rsidP="005A79AD">
      <w:pPr>
        <w:pStyle w:val="OpiPara"/>
        <w:rPr>
          <w:shd w:val="clear" w:color="auto" w:fill="FFFFFF"/>
        </w:rPr>
      </w:pPr>
      <w:r>
        <w:t>15.  Detaylandırılması gereken bir sonraki konu, Sözleşme’nin 1. ve 2. maddelerinin yorumlanmasında ve uygulanmasında tanımama ilkesinin rolüdür, çünkü bu ilke, Viyana Antlaşmalar Hukuku Sözleşmesi’nin 31. maddesi § 3 (c) bendi gereğince göz önünde bulundurulması gereken bir uluslararası hukuk kuralıdır. Açıklanacağı üzere, konu mevcut davada hiçbir şekilde teoride değil, pratikte büyük önem arz etmektedir.</w:t>
      </w:r>
    </w:p>
    <w:p w:rsidR="005A79AD" w:rsidRPr="007C6A77" w:rsidRDefault="005A79AD" w:rsidP="005A79AD">
      <w:pPr>
        <w:pStyle w:val="OpiPara"/>
        <w:rPr>
          <w:shd w:val="clear" w:color="auto" w:fill="FFFFFF"/>
        </w:rPr>
      </w:pPr>
      <w:r>
        <w:t xml:space="preserve">16.  Tanımama kuralı veya ilkesi, uluslararası teamül kuralı olmasının yanı sıra Uluslararası Hukuk Komisyonunun “Uluslararası Haksız Eylemlerden Dolayı Devletlerin Uluslararası Sorumluluğu” ile ilgili Taslak Maddelerinde de belirtilmektedir. Bu maddelerin ikisi (40. ve 41. maddeler), kararın 157. paragrafında “C. Tanımama ilkesi” başlığı altında alıntılanmıştır.  Bu Taslak Maddelerden 41 § 2. maddeye göre “[h]içbir Devlet, 40. madde kapsamında ciddi bir ihlalin yarattığı bir durumu yasal olarak kabul edemez, </w:t>
      </w:r>
      <w:r>
        <w:rPr>
          <w:i/>
        </w:rPr>
        <w:t>bu durumu sürdürmede yardım veya destekte bulunamaz</w:t>
      </w:r>
      <w:r>
        <w:t xml:space="preserve">” (vurgu eklenmiştir). Kararın 158. paragrafında alıntılanan Taslak Madde 41 § 2’nin izahında, UHK, tanımama ilkesinin Avrupa İnsan Hakları Mahkemesi tarafından uygulandığını gözlemlemiştir (bk. </w:t>
      </w:r>
      <w:r w:rsidR="00E154EF">
        <w:t>sözkonusu</w:t>
      </w:r>
      <w:r>
        <w:t xml:space="preserve"> izahın 10. paragrafı).  30. Taslak Maddeye göre, “[B]ir Devlet, gerçekleştirdiği bir uluslararası haksız eylemden dolayı şu yükümlülüklere sahiptir:  (a) Bu eylemi, devam ediyorsa durdurmak, (b) koşulların gerektirmesi halinde bu eylemin tekrar edilmeyeceğine dair uygun güvence ve garantilerin verilmesi.”</w:t>
      </w:r>
    </w:p>
    <w:p w:rsidR="005A79AD" w:rsidRPr="007C6A77" w:rsidRDefault="005A79AD" w:rsidP="005A79AD">
      <w:pPr>
        <w:pStyle w:val="OpiPara"/>
        <w:rPr>
          <w:rFonts w:cstheme="minorHAnsi"/>
          <w:color w:val="000000"/>
          <w:shd w:val="clear" w:color="auto" w:fill="FFFFFF"/>
        </w:rPr>
      </w:pPr>
      <w:r>
        <w:t xml:space="preserve">17.  Kıbrıs Cumhuriyeti, Türkiye’nin saldırgan tutumundan ötürü mağdur olmuştur. Kararın 159-161. paragraflarında da bahsedilen </w:t>
      </w:r>
      <w:r w:rsidR="008B4471">
        <w:t>“KKTC”</w:t>
      </w:r>
      <w:r>
        <w:t>nin kurulmasına gösterilen uluslararası tepkinin yanı sıra, Birleşmiş Milletler Güvenlik Konseyinin, Türkiye’nin Kıbrıs’ı işgalinin ardından yabancı askeri müdahalenin sona ermesini ve yabancı askerlerin geri çekilmesini talep eden bir dizi karar kabul ettiğini belirtmek yerinde olacaktır</w:t>
      </w:r>
      <w:r>
        <w:rPr>
          <w:rStyle w:val="DipnotBavurusu"/>
        </w:rPr>
        <w:footnoteReference w:id="15"/>
      </w:r>
      <w:r>
        <w:t>. Dahası, Birleşmiş Milletler Genel Kurulu da yabancı güçler tarafından devam eden işgale olan tepkisini açıkça dile getirmiştir</w:t>
      </w:r>
      <w:r>
        <w:rPr>
          <w:rStyle w:val="DipnotBavurusu"/>
        </w:rPr>
        <w:footnoteReference w:id="16"/>
      </w:r>
      <w:r>
        <w:t>.</w:t>
      </w:r>
    </w:p>
    <w:p w:rsidR="005A79AD" w:rsidRPr="007C6A77" w:rsidRDefault="005A79AD" w:rsidP="005A79AD">
      <w:pPr>
        <w:pStyle w:val="OpiPara"/>
        <w:rPr>
          <w:rFonts w:cstheme="minorHAnsi"/>
          <w:color w:val="000000"/>
          <w:shd w:val="clear" w:color="auto" w:fill="FFFFFF"/>
        </w:rPr>
      </w:pPr>
      <w:r>
        <w:t xml:space="preserve">18.  Taslak Madde 14 § 2’ye göre uluslararası olarak haksız bir eylem olan ve hâlihazırda devam eden Türkiye’nin kuzey Kıbrıs’ı yasa dışı işgali sona ermelidir ve Türkiye’nin, hukukun üstünlüğünü gözetme ve hukukun üstünlüğüne dayanmada bir bütün olarak uluslararası toplumun çıkarlarını korumak için bu eylemi en kısa zamanda sona erdirme konusunda kesin bir yükümlülüğe sahiptir. Sonuç olarak, üçüncü Devletlerin, bu yasa dışı durumun sürdürülmesinde ve Kıbrıs toprağının işgalinin güçlendirilmesi veya normalleştirilmesinde Türkiye’ye yardım veya destekte bulunmaması gerekmektedir. Bu durum, tanımama ilkesinin kendisine karşı korumaya çalıştığı kötülüğün açık bir örneğidir. </w:t>
      </w:r>
    </w:p>
    <w:p w:rsidR="005A79AD" w:rsidRPr="007C6A77" w:rsidRDefault="005A79AD" w:rsidP="005A79AD">
      <w:pPr>
        <w:pStyle w:val="OpiPara"/>
        <w:rPr>
          <w:rFonts w:cstheme="minorHAnsi"/>
          <w:color w:val="000000"/>
          <w:shd w:val="clear" w:color="auto" w:fill="FFFFFF"/>
        </w:rPr>
      </w:pPr>
      <w:r>
        <w:t xml:space="preserve">19.  Tanımama yükümlülüğünün amacı, insan haklarını korumaktır.  Ancak, Mahkeme içtihadının </w:t>
      </w:r>
      <w:r w:rsidR="008B4471">
        <w:t>“KKTC”</w:t>
      </w:r>
      <w:r>
        <w:t xml:space="preserve"> mahkemelerinin, özellikle Kıbrıs’ın Türkiye işgali ve etkin kontrolü altında bulunan bölgesinde sınırlı bir yargı yetkisi olduğunu kabul etmesi, tanımama yükümlülüğüne aykırı değildir. Bu yaklaşımın sebebi, herhangi bir boşluktan kaçınmak ve ilgili bireylerin insan haklarını korumaktır.  Kararının 250. paragrafında Mahkeme, yasadışı öldürmenin Türkiye’nin etkin kontrolü altında bulunan bölgesinde gerçekleşmemesi sebebiyle mevcut davayı kesin olarak bilimsel içtihattan ayrı tutmaktadır, bu nedenle Mahkemenin diğer davalarda göz önünde bulundurduğu ana faktör olan boşluk oluşmasını önleme amacı, mevcut davada göz önünde bulundurulmamıştır. </w:t>
      </w:r>
    </w:p>
    <w:p w:rsidR="005A79AD" w:rsidRPr="007C6A77" w:rsidRDefault="005A79AD" w:rsidP="005A79AD">
      <w:pPr>
        <w:pStyle w:val="OpiHA"/>
      </w:pPr>
      <w:r>
        <w:t>2. maddenin yorumlanmasında yukarıdaki ilkelerin kullanılması</w:t>
      </w:r>
    </w:p>
    <w:p w:rsidR="005A79AD" w:rsidRPr="007C6A77" w:rsidRDefault="005A79AD" w:rsidP="005A79AD">
      <w:pPr>
        <w:pStyle w:val="OpiPara"/>
      </w:pPr>
      <w:r>
        <w:t>20.  Şüphesiz Sözleşme’nin 1. ve 2. maddelerinin; iyi niyet ve etkililik ve/veya tanımama ilkesine aykırı olarak yorumlanması, Mahkemenin, Sözleşme’nin temel esaslarını ve uluslararası hukuk kuralları göz önünde bulundurmadığı anlamına geleceği için Mahkeme tarafından kabul edilmemelidir.</w:t>
      </w:r>
    </w:p>
    <w:p w:rsidR="005A79AD" w:rsidRPr="007C6A77" w:rsidRDefault="005A79AD" w:rsidP="005A79AD">
      <w:pPr>
        <w:pStyle w:val="OpiPara"/>
      </w:pPr>
      <w:r>
        <w:rPr>
          <w:rFonts w:cstheme="minorHAnsi"/>
          <w:color w:val="000000"/>
        </w:rPr>
        <w:t>21.  </w:t>
      </w:r>
      <w:r>
        <w:t xml:space="preserve">Bu nedenle, tanımama ilkesi Kıbrıs Hükümeti tarafından vurgulanarak hatırlatılmasına rağmen kararın bahsedilen meseleleri ele almaması oldukça esef vericidir. Kararın 250. paragrafında da açıkça belirtildiği üzere, Mahkeme aşağıdaki hususları ifade ederek tanımama ilkesini ele almamaya karar vermiştir: </w:t>
      </w:r>
    </w:p>
    <w:p w:rsidR="005A79AD" w:rsidRPr="007C6A77" w:rsidRDefault="005A79AD" w:rsidP="005A79AD">
      <w:pPr>
        <w:pStyle w:val="OpiQuot"/>
      </w:pPr>
      <w:r>
        <w:t xml:space="preserve">Mahkeme, uluslararası hukuk kapsamında tanınmayan veya </w:t>
      </w:r>
      <w:r>
        <w:rPr>
          <w:i/>
        </w:rPr>
        <w:t xml:space="preserve">de facto </w:t>
      </w:r>
      <w:r>
        <w:t xml:space="preserve">oluşumlar ile ceza işlerinde işbirliğinin hukukiliği konusunda genel bir teori oluşturmanın mevcut davada arzu edilir veya gerekli olduğunu düşünmemektedir. </w:t>
      </w:r>
    </w:p>
    <w:p w:rsidR="005A79AD" w:rsidRPr="007C6A77" w:rsidRDefault="005A79AD" w:rsidP="005A79AD">
      <w:pPr>
        <w:pStyle w:val="OpiPara"/>
        <w:rPr>
          <w:sz w:val="20"/>
          <w:szCs w:val="20"/>
        </w:rPr>
      </w:pPr>
      <w:r>
        <w:rPr>
          <w:rFonts w:ascii="Times New Roman" w:hAnsi="Times New Roman"/>
        </w:rPr>
        <w:t>22.  </w:t>
      </w:r>
      <w:r>
        <w:t xml:space="preserve">Ancak, affınıza sığınarak söylüyorum, Mahkemenin yukarıdaki paragraftaki beyanı yanlıştır, çünkü bu beyan, Mahkemenin kararı ile ve Mahkeme tarafından ortaya konulan, Kıbrıs Cumhuriyeti’nin bütün delilleri </w:t>
      </w:r>
      <w:r w:rsidR="008B4471">
        <w:t>“KKTC”</w:t>
      </w:r>
      <w:r>
        <w:t xml:space="preserve"> makamları veya Türkiye paylaşma zorunluluğu olmadığı iddiası ve bulgusu ile örtüşmemektedir. Bu bulgu, yalnızca 253. paragrafın son bölümünde, Mahkemenin, Kıbrıs Cumhuriyeti’nin (egemen bir Devletin en önemli özelliklerinden biri olan) cezai yargı yetkisinden, sınırlı bir tanınmış yargı yetkisi olan KKTC mahkemeleri için feragat etmeyi reddetmesinin makul olduğunu belirttiği kısımda görülmektedir. Mahkeme, 253. paragrafın son bölümünde, yukarıdaki bulgunun, Kıbrıs tarafından öne sürülen diğer iddiaların (tanımama ilkesi temeline dayananlar da </w:t>
      </w:r>
      <w:r w:rsidR="007F3C38">
        <w:t>dâhil</w:t>
      </w:r>
      <w:r>
        <w:t xml:space="preserve"> olmak üzere) incelenmesini gereksiz kılmasına gerekçe olarak Kıbrıs Cumhuriyeti’nin bütün delilleri </w:t>
      </w:r>
      <w:r w:rsidR="008B4471">
        <w:t>“KKTC”</w:t>
      </w:r>
      <w:r>
        <w:t xml:space="preserve"> makamlarına iletmeyi reddetmesi olduğunu belirtseydi, bunu anlayabilirdim. </w:t>
      </w:r>
      <w:r>
        <w:rPr>
          <w:rFonts w:ascii="Times New Roman" w:hAnsi="Times New Roman"/>
        </w:rPr>
        <w:t xml:space="preserve"> </w:t>
      </w:r>
      <w:r>
        <w:t xml:space="preserve">Buna karşın, affınıza sığınarak söylüyorum, Mahkemenin, 250. Paragraftaki </w:t>
      </w:r>
      <w:r w:rsidR="00E154EF">
        <w:t>sözkonusu</w:t>
      </w:r>
      <w:r>
        <w:t xml:space="preserve"> beyanı, aynı Mahkemenin kararında “tanımama ilkesi”ni ele alan “İlgili Uluslararası Hukuk ve Uygulaması” başlığı altında bir bölüm içermesine rağmen, Sözleşme’nin 1. ve 2. maddelerinin yorumlanmasında ve uygulanmasında tanımama ilkesinin rolünü, </w:t>
      </w:r>
      <w:r>
        <w:rPr>
          <w:i/>
        </w:rPr>
        <w:t>a priori</w:t>
      </w:r>
      <w:r>
        <w:t xml:space="preserve"> ve konuyu incelemeksizin, anlamsız kılmaktadır (bk. kararın 157 ve 158. paragrafları). </w:t>
      </w:r>
    </w:p>
    <w:p w:rsidR="005A79AD" w:rsidRPr="007C6A77" w:rsidRDefault="005A79AD" w:rsidP="005A79AD">
      <w:pPr>
        <w:pStyle w:val="OpiPara"/>
        <w:rPr>
          <w:sz w:val="20"/>
          <w:szCs w:val="20"/>
        </w:rPr>
      </w:pPr>
      <w:r>
        <w:t>23.  Doğru bir sıralama ile göz önünde bulundurulmuş olsaydı, Mahkemenin, tanımama ilkesini ele almasının “gerekli” olmadığını anlayabilirdim, ancak Mahkemenin, bu ilkeyi ele almayı “arzu edilir” bulmamasının sebebini anlamakta güçlük çekiyorum. Özellikle bu ilkenin uluslararası hukukun kati ve oldukça önemli bir ilkesi olduğu ve yukarıda da belirtildiği gibi bu ilkenin meşruiyetinin Mahkemenin kararında ekli münferit bir bölüm ile tanındığı göz önünde bulundurulduğunda, bu durum özellikle kafa karıştırıcı bir hal almaktadır.</w:t>
      </w:r>
    </w:p>
    <w:p w:rsidR="005A79AD" w:rsidRPr="007C6A77" w:rsidRDefault="005A79AD" w:rsidP="005A79AD">
      <w:pPr>
        <w:pStyle w:val="OpiPara"/>
      </w:pPr>
      <w:r>
        <w:t xml:space="preserve">24.  Mahkeme, benim </w:t>
      </w:r>
      <w:r w:rsidR="009E3740">
        <w:t>hâlihazırda</w:t>
      </w:r>
      <w:r>
        <w:t xml:space="preserve"> mutabık görüşümde belirttiğim gibi, Sözleşme’nin, hiçbir Devlete uluslararası teamül hukukunu, mevcut davada tanımama kuralını, ihlal etmesini gerektirecek bir eylemde bulunmasını zorunlu kılamayacağını vurgulamalıydı. Ayrıca, Sözleşme’nin 2. maddesi kapsamındaki usul yükümlülüklerinin Kıbrıs Cumhuriyeti’ne veya herhangi bir Devlete, Kıbrıs’taki hukuka aykırı işgalin sağlamlaşmasına sebep olacak herhangi bir adım atmayı şart koşamayacağının altını çizmek isterim.</w:t>
      </w:r>
    </w:p>
    <w:p w:rsidR="005A79AD" w:rsidRPr="007C6A77" w:rsidRDefault="005A79AD" w:rsidP="005A79AD">
      <w:pPr>
        <w:pStyle w:val="OpiPara"/>
        <w:rPr>
          <w:sz w:val="20"/>
          <w:szCs w:val="20"/>
        </w:rPr>
      </w:pPr>
      <w:r>
        <w:t>25.  Mahkemenin 234. paragrafta belirtilen işbirliği yapma görevinin “2. maddenin güvence altına aldığı yaşam hakkının etkin bir şekilde korunması ile uyumlu” olduğu beyanı kesinlikle uygun ve doğru olmasına rağmen, Mahkeme, mevcut davada Sözleşme’nin 1. ve 2. maddelerini yorumlarken iyi niyet ilkesini ele almamıştır.</w:t>
      </w:r>
    </w:p>
    <w:p w:rsidR="005A79AD" w:rsidRPr="007C6A77" w:rsidRDefault="005A79AD" w:rsidP="005A79AD">
      <w:pPr>
        <w:pStyle w:val="OpiPara"/>
        <w:rPr>
          <w:sz w:val="20"/>
          <w:szCs w:val="20"/>
        </w:rPr>
      </w:pPr>
      <w:r>
        <w:t>26.  Hugh Thirlway, “Mahkemenin, yalnızca iyi niyetli yapılmadığı gerekçesiyle taraflardan biri tarafından ileri sürülen yorumu reddetmeyi gerekli göreceği koşulları tasavvur etmek ... zordur” şeklinde gözlemde bulunmaktadır”</w:t>
      </w:r>
      <w:r>
        <w:rPr>
          <w:rStyle w:val="DipnotBavurusu"/>
        </w:rPr>
        <w:footnoteReference w:id="17"/>
      </w:r>
      <w:r>
        <w:t>. Yine Hugh Thirlway’e göre, “[b]u tür bir yorum, neredeyse kesinlikle bazı özel yorum kriterlerini ihlal edeceği için Mahkeme, bir Devleti kötü niyetle suçlamada yavaş davranacaktır”</w:t>
      </w:r>
      <w:r>
        <w:rPr>
          <w:rStyle w:val="DipnotBavurusu"/>
        </w:rPr>
        <w:footnoteReference w:id="18"/>
      </w:r>
      <w:r>
        <w:t>. Benzer bir şekilde, Gerald Fitzmaurice, “[i]yi niyet ilkesinin uygulanmasında bir zorlukla karşılaşıldığında, sorunu tamamen çözmeyi denemeden sorunun kendisine dikkat çekmenin faydalı ... olabilir” ifadesinde bulunmaktadır”</w:t>
      </w:r>
      <w:r>
        <w:rPr>
          <w:rStyle w:val="DipnotBavurusu"/>
        </w:rPr>
        <w:footnoteReference w:id="19"/>
      </w:r>
      <w:r>
        <w:t>.  Fitzmaurice, “[D]evletlere kötü niyet isnat etme konusunda her zaman doğal bir tereddüt bulunmakta ve bu tereddüt uluslararası bir yükümlülükten kaçınma amacı taşımaktadır” şeklinde açıklamada bulunmaktadır</w:t>
      </w:r>
      <w:r>
        <w:rPr>
          <w:rStyle w:val="DipnotBavurusu"/>
        </w:rPr>
        <w:footnoteReference w:id="20"/>
      </w:r>
      <w:r>
        <w:t>.</w:t>
      </w:r>
    </w:p>
    <w:p w:rsidR="005A79AD" w:rsidRPr="007C6A77" w:rsidRDefault="005A79AD" w:rsidP="005A79AD">
      <w:pPr>
        <w:pStyle w:val="OpiPara"/>
        <w:rPr>
          <w:sz w:val="20"/>
          <w:szCs w:val="20"/>
        </w:rPr>
      </w:pPr>
      <w:r>
        <w:t xml:space="preserve">27.  Gerçekten de, Mahkemenin iyi niyetli yapılmadığı gerekçesiyle taraflardan biri tarafından ileri sürülen yorumu hiçbir zaman reddetmediği görülmektedir; ancak bir yorumu şekilci veya kısıtlayıcı olduğu için veya pratik ve etkili olmaktan ziyade kuramsal ve yanıltıcı olduğu gerekçesiyle defalarca reddetmiştir. </w:t>
      </w:r>
    </w:p>
    <w:p w:rsidR="005A79AD" w:rsidRPr="007C6A77" w:rsidRDefault="005A79AD" w:rsidP="005A79AD">
      <w:pPr>
        <w:pStyle w:val="OpiPara"/>
        <w:rPr>
          <w:sz w:val="20"/>
          <w:szCs w:val="20"/>
        </w:rPr>
      </w:pPr>
      <w:r>
        <w:t xml:space="preserve">28.  Mahkemenin, yalnızca iyi niyetli yapılmadığı gerekçesiyle taraflardan biri tarafından ileri sürülen yorumu reddetmeyi gerekli göreceği koşulları tasavvur etmek zor olmasına rağmen, bu koşullar, davadan hariç tutulamaz ve mevcut davada Türkiye’nin 2. maddeyi yorumlayıcı yaklaşımı, Mahkemenin bir yorumu iyi niyetle yapılmadığı gerekçesiyle reddetmesinin gerektiği en açık örneklerden birini teşkil etmektedir.  </w:t>
      </w:r>
    </w:p>
    <w:p w:rsidR="005A79AD" w:rsidRDefault="005A79AD" w:rsidP="005A79AD">
      <w:pPr>
        <w:pStyle w:val="OpiPara"/>
        <w:rPr>
          <w:rFonts w:eastAsia="Times New Roman"/>
        </w:rPr>
      </w:pPr>
      <w:r>
        <w:t>29.  VAHS’nin 31. madde § 1’de bahsedilen iyi niyet unsuru, daha önce de belirtildiği üzere, yokluğunda, sözkonusu hüküm kapsamında yorumlayıcı yaklaşımın çökmesine sebep olacak önemli bir unsurdur. Bunun sebebi, bir yorum şekli olarak iyi niyetin, bir antlaşma hükmünün hem olağan anlamı hem de konu ve amacı ile bağlantılı olmasıdır ve benim görüşüme göre, iyi niyet, 31. madde § 1’e uygun olarak bir antlaşmanın “birlik halinde ve tek bir birleşik işlem” olarak yorumlanması sürecine yardımcı olan bir bileşen veya unsurdur</w:t>
      </w:r>
      <w:r>
        <w:rPr>
          <w:rStyle w:val="DipnotBavurusu"/>
        </w:rPr>
        <w:footnoteReference w:id="21"/>
      </w:r>
      <w:r>
        <w:t xml:space="preserve">. Bu sebeple, Mahkeme, genellikle yaptığı gibi “iyi niyet” unsurunu görmezden gelerek veya ihmal ederek bir hükmün sadece metnine ve/veya konusuna atıfta bulunmamalıdır. </w:t>
      </w:r>
    </w:p>
    <w:p w:rsidR="00917AC0" w:rsidRPr="00917AC0" w:rsidRDefault="00917AC0" w:rsidP="00EA609E">
      <w:pPr>
        <w:pStyle w:val="OpiPara"/>
        <w:ind w:firstLine="0"/>
        <w:rPr>
          <w:sz w:val="20"/>
          <w:szCs w:val="20"/>
        </w:rPr>
      </w:pPr>
    </w:p>
    <w:p w:rsidR="005A79AD" w:rsidRPr="007C6A77" w:rsidRDefault="005A79AD" w:rsidP="005A79AD">
      <w:pPr>
        <w:pStyle w:val="OpiPara"/>
        <w:rPr>
          <w:sz w:val="20"/>
          <w:szCs w:val="20"/>
        </w:rPr>
      </w:pPr>
      <w:r>
        <w:t>30.  Sözleşme’nin 1 ve 2. maddeleri; bir üye Devletin, mevcut davada Türkiye, uluslararası hukuk ile çatışacak şekilde, özellikle de diğer Devlet’in, mevcut davada Kıbrıs’ın, bağımsızlık ve bütünlüğüne saydı duymayarak ve kötü niyetle hareket ederek Kıbrıs topraklarının bir kısmında dayatılan yasadışı durumu güçlendirme ve normalleştirme amacıyla başka bir üye Devlet ile, mevcut davada Kıbrıs ile, işbirliğini reddetmesine müsaade etmesi şeklinde yorumlanamaz. Aslında, Türkiye, Birleşmiş Milletler Kararı’nda öngörülenin tam aksini yapmıştır</w:t>
      </w:r>
      <w:r>
        <w:rPr>
          <w:rStyle w:val="DipnotBavurusu"/>
        </w:rPr>
        <w:footnoteReference w:id="22"/>
      </w:r>
      <w:r>
        <w:t>.</w:t>
      </w:r>
    </w:p>
    <w:p w:rsidR="005A79AD" w:rsidRPr="007C6A77" w:rsidRDefault="005A79AD" w:rsidP="005A79AD">
      <w:pPr>
        <w:pStyle w:val="OpiPara"/>
        <w:rPr>
          <w:sz w:val="20"/>
          <w:szCs w:val="20"/>
        </w:rPr>
      </w:pPr>
      <w:r>
        <w:t>31.  Daha spesifik bir şekilde ifade etmek gerekirse, kuzey Kıbrıs’ta uluslararası topluluğun tamamı tarafından tanınmayan yasadışı bir oluşum kuran Türkiye’nin, Kıbrıs Hükümeti’nin uluslararası topluluk tarafından Kıbrıs’taki tek meşru hükümet olarak tanındığı gerçeğini görmezden gelerek mevcut davada Kıbrıs Hükümeti ile işbirliği yapmayı reddetmeye hakkı olduğunu, çünkü Kıbrıs Hükümeti’ni tanımadığını savunması, uluslararası hukuk ve özellikle de iyi niyet ilkesine ters düşmektedir. Yukarıdaki açıklama temelinde, Türkiye’nin Kıbrıs’ın kuzeyindeki varlığı bünyesindeki mahkemelerin-Kıbrıs Cumhuriyeti’nin mahkemelerini hariç tutarak, cinayetin Kıbrıs’ın Türkiye’nin işgali ve etkin kontrolü altında bulunmayan topraklarında işlenmiş olmasına rağmen cinayet şüphelileri davasına bakmaya yetkin olduğu iddiası iyi niyet ilkesini ihlal etmektedir.</w:t>
      </w:r>
    </w:p>
    <w:p w:rsidR="005A79AD" w:rsidRPr="007C6A77" w:rsidRDefault="005A79AD" w:rsidP="005A79AD">
      <w:pPr>
        <w:pStyle w:val="OpiPara"/>
        <w:rPr>
          <w:sz w:val="20"/>
          <w:szCs w:val="20"/>
        </w:rPr>
      </w:pPr>
      <w:r>
        <w:t>32.  Türkiye’nin bu duruşu, yazılı ve sözlü gözlemlerinden uzaktır. Önemli biçimde, suçluluların iadesine dair geçerli talebi için uygun diplomatik kanalın hangisi olacağının kararlaştırılmasına dair sözlü oturumda Yargıç’ın sorusuna yanıt olarak aşağıdaki ifade verilmiştir:</w:t>
      </w:r>
    </w:p>
    <w:p w:rsidR="005A79AD" w:rsidRPr="007C6A77" w:rsidRDefault="005A79AD" w:rsidP="005A79AD">
      <w:pPr>
        <w:pStyle w:val="OpiQuot"/>
      </w:pPr>
      <w:r>
        <w:t xml:space="preserve">“Mevcut davada olağan diplomatik kanal, tanımamadan değil ancak basit bir sebepten dolayı; Türkiye ile Kıbrıslı Rum Makamları arasında diplomatik ilişkiler mevcut olmadığından, Kıbrıslı Rum Makamlar için mevcut değildir. Bu yüzden Türkiye, Avrupa Konseyi himayesindeki her sözleşmeye şart koymaktadır, sözkonusu antlaşmaya taraf olmak Türkiye ile güney Kıbrıs’taki Kıbrıslı Rum Makamlar arasında herhangi bir yasal yükümlülük oluşturmamaktadır ve oluşturamaz. </w:t>
      </w:r>
    </w:p>
    <w:p w:rsidR="005A79AD" w:rsidRPr="007C6A77" w:rsidRDefault="005A79AD" w:rsidP="005A79AD">
      <w:pPr>
        <w:pStyle w:val="OpiPara"/>
        <w:rPr>
          <w:rFonts w:eastAsia="Times New Roman"/>
        </w:rPr>
      </w:pPr>
      <w:r>
        <w:t xml:space="preserve">33.  “Kıbrıslı Rum Makamlar” ifadesinin kendisi aslında Türkiye’nin Kıbrıs Cumhuriyeti’ni tanımayı reddettiğinin bir göstergesidir. Sevk talebinde ve yazılı veya sözlü gözlemlerde, Türk Hükümeti Kıbrıs Hükümeti’ne bir kez dahi Kıbrıs Cumhuriyeti olarak hitap etmemiştir. Bunun yerine, Türk Hükümeti “Kıbrıslı Rum Makamları” ifadesini kullanmıştır. </w:t>
      </w:r>
    </w:p>
    <w:p w:rsidR="005A79AD" w:rsidRPr="007C6A77" w:rsidRDefault="005A79AD" w:rsidP="005A79AD">
      <w:pPr>
        <w:pStyle w:val="OpiPara"/>
        <w:rPr>
          <w:rFonts w:eastAsia="Times New Roman"/>
        </w:rPr>
      </w:pPr>
      <w:r>
        <w:t xml:space="preserve">34.  Türkiye’nin yukarıda yer alan ifadesi (bk. § 32), affınıza sığınarak söylüyorum, Türkiye ve Kıbrıs arasında diplomatik ilişkilerin olmamasının Türkiye bu şekilde karar vermesinden kaynaklandığını ve Kıbrıs Hükümeti’ni tanımamasının doğal bir sonucu olduğunu belirtmesi açısından yanıltıcıdır. Bu nedenle, her iki Devletin birbirleriyle diplomatik ilişki kurmayı reddettiği bir tablo çizmek yanlış algılanacaktır. Bu durum bilhassa, Kıbrıs, Türkiye’nin devlet olma durumuna değil yalnızca Kıbrıs’ın kuzeyinde kurulan Türkiye’ye bağlı yerel idare olan </w:t>
      </w:r>
      <w:r w:rsidR="008B4471">
        <w:t>“KKTC”</w:t>
      </w:r>
      <w:r>
        <w:t xml:space="preserve">ye karşı geldiği için böyledir. İlave olarak, Kıbrıs Türkiye’nin Suçluların İadesine Dair Avrupa Sözleşmesindeki ve Ceza İşlerinde Karşılıklı Adli Yardım Avrupa Sözleşmesindeki çekincelerine, Viyana Andlaşmalar Hukuku Sözleşmesi’nde 20 § 5. madde kapsamındaki 12 aylık kısıtlı süre içinde itiraz etmiştir. Türkiye’nin bu iki antlaşmadaki çekincelerinin içeriğinden, Kıbrıs’ı tanımadığı ve Kıbrıs ile herhangi bir anlaşmaya girmek istemediği açıktır. Özellikle, Türkiye yukarıda bahsi geçen Protokolleri onaylamış olmasının “ne Kıbrıs Rum Yönetimi’nin geçerliliğini yitirmiş “Kıbrıs Cumhuriyeti’nin” </w:t>
      </w:r>
      <w:r w:rsidR="00E154EF">
        <w:t>sözkonusu</w:t>
      </w:r>
      <w:r>
        <w:t xml:space="preserve"> belgelere taraf olduğunun tanınmasına ilişkin bir durum teşkil ettiğini” ne de “</w:t>
      </w:r>
      <w:r w:rsidR="00E154EF">
        <w:t>sözkonusu</w:t>
      </w:r>
      <w:r>
        <w:t xml:space="preserve"> belgeler çerçevesinde Türkiye’nin sözde Kıbrıs Cumhuriyeti ile herhangi bir anlaşmaya girmesine ilişkin herhangi bir yükümlülük ima ettiğini...” belirtmiştir (bk. Kararın 144. ve 149. paragrafları)</w:t>
      </w:r>
    </w:p>
    <w:p w:rsidR="005A79AD" w:rsidRPr="007C6A77" w:rsidRDefault="005A79AD" w:rsidP="005A79AD">
      <w:pPr>
        <w:pStyle w:val="OpiPara"/>
        <w:rPr>
          <w:rFonts w:eastAsia="Times New Roman"/>
        </w:rPr>
      </w:pPr>
      <w:r>
        <w:t xml:space="preserve">35.  Bu bağlamda, Türkiye’nin çekincelerinin belirli olmadığı ve Viyana Andlaşmalar Hukuku Sözleşmesi’nde sırasıyla 19. madde §§ (b) ve (c)’de öngörülenin aksine çekincelerin, </w:t>
      </w:r>
      <w:r w:rsidR="00E154EF">
        <w:t>sözkonusu</w:t>
      </w:r>
      <w:r>
        <w:t xml:space="preserve"> Sözleşmelerin hedef ve amacına uygun olmadığı dikkate alınmalıdır. Kapsamlı çekincelerin yasaklanmasına ilişkin olarak, Roslyn Moloney Uluslararası Adalet Divanı’nın kararına atıfta bulunarak, şu gözlemde bulunmuştur: “[b]u davada Mahkeme, en temel hükümleri seyrelten kapsamlı çekincelerden dolayı insan haklarının bütünlüğünü aşınmadan korumak konusunda endişe duymuştur”</w:t>
      </w:r>
      <w:r>
        <w:rPr>
          <w:rStyle w:val="DipnotBavurusu"/>
        </w:rPr>
        <w:footnoteReference w:id="23"/>
      </w:r>
      <w:r>
        <w:t>.</w:t>
      </w:r>
    </w:p>
    <w:p w:rsidR="005A79AD" w:rsidRDefault="005A79AD" w:rsidP="005A79AD">
      <w:pPr>
        <w:pStyle w:val="OpiPara"/>
        <w:rPr>
          <w:rFonts w:ascii="Times New Roman" w:hAnsi="Times New Roman" w:cs="Times New Roman"/>
        </w:rPr>
      </w:pPr>
      <w:r>
        <w:t>36.  Türkiye, bir Avrupa Konseyi üyesi olarak; makul sebepler dışında bir diğer Avrupa Konseyi üyesi olan Kıbrıs Cumhuriyeti’ni Sözleşme’nin 1 ve 2. maddelerinde şart koşulduğu üzere tanımayı ve dolayısıyla işbirliği yapmayı reddederek; iyi niyet ve Sözleşme’nin Giriş kısmında atıfta bulunulan Avrupa Konseyinin temel amaçları olan yani Sözleşme ile garanti altına alınan hakların etkili bir şekilde tanınması ve gözetilmesi ve toplu bir şekilde uygulanması, hukukun üstünlüğünün ve etkili siyasi demokrasinin korunmasını göz ardı ederek bu Sözleşme hükümlerini ihlal etmiştir.</w:t>
      </w:r>
      <w:r>
        <w:rPr>
          <w:rFonts w:ascii="Times New Roman" w:eastAsiaTheme="minorHAnsi" w:hAnsi="Times New Roman"/>
        </w:rPr>
        <w:t xml:space="preserve"> </w:t>
      </w:r>
      <w:r>
        <w:t xml:space="preserve">Türkiye ayrıca; yukarıda 14. paragrafta bahsi geçtiği üzere amaçlarının gerçekleştirilmesinde Avrupa Konseyi Üye Devletleri arasında içten ve etkili işbirliğini gerektiren Avrupa Konseyi Statüsünün 3. maddesini de ihlal etmiştir. Gerçekte, Türkiye’nin duruşu Mahkemenin bir Avrupa Konseyi kuruluşu olarak rolünü zedelemektedir. </w:t>
      </w:r>
      <w:r>
        <w:rPr>
          <w:rFonts w:ascii="Times New Roman" w:hAnsi="Times New Roman"/>
        </w:rPr>
        <w:t>İnsan haklarının toplu bir şekilde garanti altına alınması ve uygulanmasının ayrılmaz bileşeni, her bir Üye Devletin diğer tüm Üye Devletlerin egemenliği ve bağımsızlığına saygı duymasıdır. Bu bileşen olmadan, herhangi bir türde içten işbirliği mümkün değildir.</w:t>
      </w:r>
    </w:p>
    <w:p w:rsidR="007C4171" w:rsidRDefault="007C4171" w:rsidP="005A79AD">
      <w:pPr>
        <w:pStyle w:val="OpiPara"/>
        <w:rPr>
          <w:rFonts w:ascii="Times New Roman" w:hAnsi="Times New Roman" w:cs="Times New Roman"/>
        </w:rPr>
      </w:pPr>
    </w:p>
    <w:p w:rsidR="007C4171" w:rsidRPr="007C6A77" w:rsidRDefault="007C4171" w:rsidP="005A79AD">
      <w:pPr>
        <w:pStyle w:val="OpiPara"/>
      </w:pPr>
    </w:p>
    <w:p w:rsidR="005A79AD" w:rsidRPr="007C6A77" w:rsidRDefault="005A79AD" w:rsidP="005A79AD">
      <w:pPr>
        <w:pStyle w:val="OpiPara"/>
        <w:rPr>
          <w:rFonts w:eastAsia="Times New Roman"/>
          <w:szCs w:val="24"/>
        </w:rPr>
      </w:pPr>
      <w:r>
        <w:t>37.  </w:t>
      </w:r>
      <w:r w:rsidR="004C2AD9">
        <w:t>Müdahil</w:t>
      </w:r>
      <w:r>
        <w:t xml:space="preserve"> tarafların iyi niyet esasında işbirliğine istekli olmasının gerekmesi her türlü işbirliğinin ayrılmaz bir unsurudur. İyi niyet ilkesinin kararda açıkça bahsinin geçmemesine rağmen, şu ifadenin yer aldığı 233. paragrafta bu durum kabul edilmiştir: “Mahkeme, buna göre 2. maddenin her iki Devlete birbiriyle işbirliği yapma konusunda çift taraflı yükümlülük getirebileceğini ve bunun aynı zamanda yardım isteme ve yardım etme yükümlülüğünü kapsadığı görüşünü benimsemektedir”. Dolayısıyla, bir Devletin, mevcut davada Kıbrıs, başından beri işbirliğini reddeden ve reddi iyi niyet ve uluslararası hukuka aykırı temellere dayanan diğer bir Devlet ile, mevcut davada Türkiye, işbirliği yapması, </w:t>
      </w:r>
      <w:r>
        <w:rPr>
          <w:i/>
        </w:rPr>
        <w:t xml:space="preserve">başından beri (ab initio), </w:t>
      </w:r>
      <w:r>
        <w:t xml:space="preserve">faydasızdır. Bu duruş, Kıbrıs için Türkiye ile işbirliği kapısını bir daha açılmayacak şekilde kapatmıştır. Bu koşullar altında dahi, Kıbrıs </w:t>
      </w:r>
      <w:r w:rsidR="008B4471">
        <w:t>“KKTC”</w:t>
      </w:r>
      <w:r>
        <w:t xml:space="preserve">ye Kıbrıs’taki </w:t>
      </w:r>
      <w:r w:rsidR="00E562AE">
        <w:t>BMBG</w:t>
      </w:r>
      <w:r>
        <w:t xml:space="preserve">, diğer bir ifadeyle DNA sonuçları, yoluyla bazı delilleri temin etmiştir ve Kıbrıs KKTC makamlarının bu olayda cinayet şüphelilerini Kıbrıs’a teslim edecekleri taahhüdüne tabi olarak cinayet şüphelilerine karşı ilk bakışta haklı görülen dava olup olmadığını KKTC’nin görmesini sağlamak için, tüm delilleri </w:t>
      </w:r>
      <w:r w:rsidR="00E562AE">
        <w:t>BMBG</w:t>
      </w:r>
      <w:r>
        <w:t>’ye vermeye de hazırdı.</w:t>
      </w:r>
    </w:p>
    <w:p w:rsidR="005A79AD" w:rsidRPr="007C6A77" w:rsidRDefault="005A79AD" w:rsidP="005A79AD">
      <w:pPr>
        <w:pStyle w:val="OpiPara"/>
        <w:rPr>
          <w:rFonts w:eastAsia="Times New Roman"/>
        </w:rPr>
      </w:pPr>
      <w:r>
        <w:t xml:space="preserve">38.  Kıbrıs’ın, </w:t>
      </w:r>
      <w:r w:rsidR="008B4471">
        <w:t>“KKTC”</w:t>
      </w:r>
      <w:r>
        <w:t xml:space="preserve">nin meşruiyetine ilişkin olarak tanımama ilkesine başvurma ve dolayısıyla tüm delilleri Kıbrıs’ın kuzeyinde istilacı ve işgalci bir güç olan </w:t>
      </w:r>
      <w:r w:rsidR="008B4471">
        <w:t>“KKTC”</w:t>
      </w:r>
      <w:r>
        <w:t xml:space="preserve"> veya Türkiye’ye teslim etmeme hakkı vardı. Diğer taraftan, Türkiye, Kıbrıs Hükümeti ile diplomatik ilişkileri olmadığı ve Kıbrıs Hükümetini tanımadığı için cinayet şüphelilerini Kıbrıs Hükümetine iade etmeme hakkı olduğunu iddia etmeye yetkili değildi. Türkiye tarafından tanımama ilkesinin bu şekilde </w:t>
      </w:r>
      <w:r w:rsidR="00BC1DC1">
        <w:t>suiistimal</w:t>
      </w:r>
      <w:r>
        <w:t xml:space="preserve"> edilmesi, Türkiye’nin Kıbrıs’taki işgalci ve yayılmacı politikasına dayandırılmaktadır ve uluslararası hukuka ve özellikle de Avrupa Konseyinin iyi niyet ilkesine ve insan haklarının etkili bir şekilde korunması yönünde esas, uzun ve sürekli amacına ters düşmektedir.</w:t>
      </w:r>
    </w:p>
    <w:p w:rsidR="005A79AD" w:rsidRPr="007C6A77" w:rsidRDefault="005A79AD" w:rsidP="005A79AD">
      <w:pPr>
        <w:pStyle w:val="OpiPara"/>
        <w:rPr>
          <w:rFonts w:eastAsia="Times New Roman"/>
        </w:rPr>
      </w:pPr>
      <w:r>
        <w:t xml:space="preserve">39.  Bir Devletin başka bir Avrupa Konseyi Üye Devleti ile bir ceza davasında bu diğer devleti tanımaması halinde veya o Devlet ile herhangi bir diplomatik ilişki kurmak istememesi temelinde işbirliğini reddedebileceğinin belirtildiği Sözleşmedeki 2. Maddenin Türkiye tarafından yorumu, bana göre, tamamen iyi niyet, etkililik ilkesi ve diğer Devlet’in egemenlik ve bütünlüğüne saygı duyma yükümlülüğü </w:t>
      </w:r>
      <w:r w:rsidR="007F3C38">
        <w:t>dâhil</w:t>
      </w:r>
      <w:r>
        <w:t xml:space="preserve"> olmak üzere diğer herhangi bir uluslararası hukuk kuralını tamamen göz ardı etmektedir. </w:t>
      </w:r>
    </w:p>
    <w:p w:rsidR="005A79AD" w:rsidRPr="007C6A77" w:rsidRDefault="005A79AD" w:rsidP="005A79AD">
      <w:pPr>
        <w:pStyle w:val="OpiPara"/>
        <w:rPr>
          <w:rFonts w:eastAsia="Times New Roman"/>
        </w:rPr>
      </w:pPr>
      <w:r>
        <w:t xml:space="preserve">40.  Türkiye'nin işbirliği yapmak zorunda olmadığı yönündeki iddiası, </w:t>
      </w:r>
      <w:r w:rsidR="008B4471">
        <w:t>“KKTC”</w:t>
      </w:r>
      <w:r>
        <w:t xml:space="preserve"> mahkemelerinin Kıbrıs topraklarının herhangi bir yerinde işlenen suçlarda yargılama yapması gerektiği talebine dayanmakta ve dolayısıyla Kıbrıs Cumhuriyeti</w:t>
      </w:r>
      <w:r>
        <w:rPr>
          <w:rStyle w:val="DipnotBavurusu"/>
        </w:rPr>
        <w:footnoteReference w:id="24"/>
      </w:r>
      <w:r>
        <w:t xml:space="preserve"> mahkemelerinin meşruluğunu tamamıyla yok saymaktadır. </w:t>
      </w:r>
    </w:p>
    <w:p w:rsidR="005A79AD" w:rsidRPr="007C6A77" w:rsidRDefault="005A79AD" w:rsidP="005A79AD">
      <w:pPr>
        <w:pStyle w:val="OpiPara"/>
        <w:rPr>
          <w:rFonts w:eastAsia="Times New Roman"/>
        </w:rPr>
      </w:pPr>
      <w:r>
        <w:t xml:space="preserve">41.  Kıbrıs topraklarının herhangi bir yerinde cinayet işlendiğinde yalnızca </w:t>
      </w:r>
      <w:r w:rsidR="008B4471">
        <w:t>“KKTC”</w:t>
      </w:r>
      <w:r>
        <w:t xml:space="preserve"> mahkemelerinin yetkili olduğuna yönelik bu sav, Türkiye’nin iyi niyet ilkesine ters düşen ilave iddiasıdır çünkü Türkiye dışında dünyada hiçbir ülke </w:t>
      </w:r>
      <w:r w:rsidR="008B4471">
        <w:t>“KKTC”</w:t>
      </w:r>
      <w:r>
        <w:t xml:space="preserve">yi tanımamaktadır. Dolayısıyla, Türkiye’nin Mahkemenin içtihat hukukuna göre oldukça kısıtlı yargı yetkisi olan </w:t>
      </w:r>
      <w:r w:rsidR="008B4471">
        <w:t>“KKTC”</w:t>
      </w:r>
      <w:r>
        <w:t xml:space="preserve"> mahkemelerinin, etkili kontrolü altında bulunmayan Kıbrıs topraklarında işlenen suçlar üzerinde yargı yetkisinin olmasını beklemesi makul değildi. Ayrıca, Türkiye’nin, Kıbrıs’tan egemenliğinin temel özelliklerinden biri olan cezai yargı yetkisinden </w:t>
      </w:r>
      <w:r w:rsidR="008B4471">
        <w:t>“KKTC”</w:t>
      </w:r>
      <w:r>
        <w:t xml:space="preserve"> mahkemelerinin lehine feragat etmeyi reddetmemesini beklemesi de makul değildi. Yukarıda belirtildiği üzere, Mahkemenin Kıbrıs kısmında bir ihlal bulmadığı savı, kararın 253. paragrafında, “böylesi özel bir durumda, (Kıbrıs’ın) ‘KKTC’ mahkemeleri lehine cezai yargı yetkisinden feragat etmeyi reddetmesinin makul olmadığı” yönündedir. Ancak burada, anlatmaya çalıştığım nokta Kıbrıs’ın neyi sav olarak öne sürmesinin makul olduğu değil, Türkiye’nin neyi sav olarak öne sürmesinin makul olmadığıdır. Devletin bu makul olmayan eylemi kötü niyet sergilemektedir.</w:t>
      </w:r>
    </w:p>
    <w:p w:rsidR="005A79AD" w:rsidRPr="007C6A77" w:rsidRDefault="005A79AD" w:rsidP="005A79AD">
      <w:pPr>
        <w:pStyle w:val="OpiPara"/>
        <w:rPr>
          <w:rFonts w:eastAsia="Times New Roman"/>
        </w:rPr>
      </w:pPr>
      <w:r>
        <w:t>42.  Sözleşme’nin 2. maddesinin yorumlanmasına ilişkin Türkiye’nin üçüncü iddiası, ve benim görüşüme göre iyi niyet ilkesini ihlal eden iddia, Türkiye’nin kendi iç hukukunu uyguladığı davada herhangi bir antlaşmaya bağlı taahhüdünün olmaması halinde işbirliği yükümlülüğü olmadığıdır. Bu iddia, affınıza sığınarak söylüyorum, makul değildir çünkü 2. maddenin kendisi, Mahkeme tarafından yorumlandığı üzere, içten işbirliği yükümlülüğünü yüklemektedir; bu yükümlülük Türkiye’nin de bağlı Devlet Taraflarından biri olduğu Sözleşme’den kaynaklanmaktadır. Bunun yanı sıra, Viyana Andlaşmalar Hukuku Sözleşmesi’nin 27. maddesinde şart koşulduğu üzere; “(bir) taraf, bir andlaşmanın hükümlerini yerine getirememekten dolayı kendi iç hukukunun hükümlerini gerekçe olarak kullanmayabilir.”</w:t>
      </w:r>
    </w:p>
    <w:p w:rsidR="005A79AD" w:rsidRPr="007C6A77" w:rsidRDefault="005A79AD" w:rsidP="005A79AD">
      <w:pPr>
        <w:pStyle w:val="OpiPara"/>
        <w:rPr>
          <w:rFonts w:eastAsia="Times New Roman"/>
        </w:rPr>
      </w:pPr>
      <w:r>
        <w:t>43.  Türkiye tarafından işbirliğine yönelik olumlu yükümlülüğüne uymayı reddetmeye ilişkin dördüncü iddiası, Suçluların İadesi Sözleşmesi kapsamında Kıbrıs’ın iade taleplerinin geçerli olmadığı yönündeydi. Bu sav, Türkiye tarafından yalnızca Büyük Daire huzurunda ileri sürülmüştür (bk. Kararın 262. paragrafı) Türkiye’nin duruşuna yönelik olarak Mahkemenin 261-66. paragraflarda belirttiklerine tamamen mutabıkım. Özellikle, Mahkeme, kararın 263. paragrafında, Türkiye’nin, suçluların iadesine ilişkin kararından talep eden Devleti, Kıbrıs’ı, bilgilendirme hakkında Suçluların İadesi Sözleşmesi’nin 18(1) ve 2. maddelerine uymadığı kararına varmıştır. Kararın 264. paragrafında, Mahkeme “2. madde kapsamında işbirliği yapma yükümlülüğünün bu hükümler [ör. Suçluların İadesi Sözleşmesi’nde Madde 13 ve 18(1) ve (2)] ışığında okunması gerektiği ve dolayısıyla bir Devlete başka bir Akit Devletten gelen her türlü iade talebini inceleme ve bu talebe makul bir gerekçe sağlama yükümlülüğü getirmesi gerektiği...” düşüncesinde olduğunu haklı bir şekilde ifade etmektedir. Son olarak, kararın 265. paragrafında, Mahkeme yukarıdaki görüşün Mahkeme için “Türkiye’nin dava koşullarında gerekli asgari çabayı göstermediği ve dolayısıyla başvuranların akrabalarının ölümüyle ilgili etkin soruşturma yapılması için Kıbrıs ile işbirliği yapma yükümlülüğüne uymadığı” sonucuna varması için “yeterli olduğunu” haklı olarak belirtmektedir.</w:t>
      </w:r>
    </w:p>
    <w:p w:rsidR="005A79AD" w:rsidRPr="007C6A77" w:rsidRDefault="005A79AD" w:rsidP="005A79AD">
      <w:pPr>
        <w:pStyle w:val="OpiPara"/>
        <w:rPr>
          <w:rFonts w:eastAsia="Times New Roman"/>
        </w:rPr>
      </w:pPr>
      <w:r>
        <w:t>44.  Türkiye’nin, Mahkeme tarafından “iadeyi reddetme” (bk. kararın 263. paragrafı) olarak “anlaşılabilecek”, Kıbrıs’ın iade talebi karşısında sessizliği ve Türkiye’nin bu türden bir reddi gerekçelendirmek için herhangi bir makul yanıt sağlayamaması, bana göre, Sözleşme’nin 1. maddesi ile birlikte 2. maddesinin yorumlanması ve uygulanmasında iyi niyet ilkesini ihlal ettiğine yönelik ilave göstergelerdir.</w:t>
      </w:r>
    </w:p>
    <w:p w:rsidR="005A79AD" w:rsidRPr="007C6A77" w:rsidRDefault="005A79AD" w:rsidP="005A79AD">
      <w:pPr>
        <w:pStyle w:val="OpiPara"/>
        <w:rPr>
          <w:rFonts w:eastAsia="Times New Roman"/>
        </w:rPr>
      </w:pPr>
      <w:r>
        <w:t>45.  Sözleşme’nin 1 ve 2. maddelerini yaşam hakkını yok sayacak şekilde yorumlamak iyi niyet ilkesine karşıtlık teşkil edecektir</w:t>
      </w:r>
      <w:r>
        <w:rPr>
          <w:rStyle w:val="DipnotBavurusu"/>
        </w:rPr>
        <w:footnoteReference w:id="25"/>
      </w:r>
      <w:r>
        <w:t xml:space="preserve">. Türkiye ve </w:t>
      </w:r>
      <w:r w:rsidR="008B4471">
        <w:t>“KKTC”</w:t>
      </w:r>
      <w:r>
        <w:t xml:space="preserve"> makamları, Sözleşme kapsamının tamamen dışında kalan ve uluslararası hukuka aykırı olan temellerde işbirliği yapmayı reddederek kendiliğinden 2. maddenin amaçları, iyi niyet ilkesi ve etkililiğe mani olmuş ve bunları hükümsüz kılmıştır. Türkiye ve </w:t>
      </w:r>
      <w:r w:rsidR="008B4471">
        <w:t>“KKTC”</w:t>
      </w:r>
      <w:r>
        <w:t xml:space="preserve"> makamları, tüm başvuranlara hiçbir şekilde koruma sağlamamıştır çünkü makul olmayan iddiaları nedeniyle </w:t>
      </w:r>
      <w:r w:rsidR="008B4471">
        <w:t>“KKTC”</w:t>
      </w:r>
      <w:r>
        <w:t xml:space="preserve"> makamları tüm cinayet şüphelilerini tamamen serbest bırakmıştır. </w:t>
      </w:r>
    </w:p>
    <w:p w:rsidR="005A79AD" w:rsidRPr="00E6642A" w:rsidRDefault="005A79AD" w:rsidP="005A79AD">
      <w:pPr>
        <w:pStyle w:val="OpiPara"/>
        <w:rPr>
          <w:rFonts w:eastAsia="Times New Roman"/>
        </w:rPr>
      </w:pPr>
      <w:r w:rsidRPr="00E6642A">
        <w:t>46.  Bir Devlet, mevcut davada Türkiye olarak bahsedilebilir, Sözleşme’nin 1. ve 2. maddelerinden doğabilecek her türlü olumlu usul yükümlülüğünün yasal temeli veya kaynağı veya özü olan etkililik ilkesine saygısızlık ettiğinde</w:t>
      </w:r>
      <w:r w:rsidRPr="00E6642A">
        <w:rPr>
          <w:rStyle w:val="DipnotBavurusu"/>
        </w:rPr>
        <w:footnoteReference w:id="26"/>
      </w:r>
      <w:r w:rsidRPr="00E6642A">
        <w:t xml:space="preserve"> ve bu ilkeyi uygulamadığında, bu türden bir yükümlülüğe uymanın tamamen başarısızlığa </w:t>
      </w:r>
      <w:r w:rsidR="00BC1DC1" w:rsidRPr="00E6642A">
        <w:t>mahkûm</w:t>
      </w:r>
      <w:r w:rsidRPr="00E6642A">
        <w:t xml:space="preserve"> olduğu gözlemlenecektir.</w:t>
      </w:r>
    </w:p>
    <w:p w:rsidR="00121ED6" w:rsidRPr="007C6A77" w:rsidRDefault="005A79AD" w:rsidP="005A79AD">
      <w:pPr>
        <w:pStyle w:val="OpiPara"/>
        <w:rPr>
          <w:rFonts w:eastAsia="Times New Roman"/>
        </w:rPr>
      </w:pPr>
      <w:r>
        <w:t>47.  Son olarak, kararın temelinde yatan sebeplerden ve mevcut mutabık görüşümün ve Dairedeki kısmi muhalefet şerhimin dayandığı tüm sebeplerden dolayı, yalnızca Türkiye’nin, Kıbrıs h</w:t>
      </w:r>
      <w:r w:rsidR="00526AB6">
        <w:t>ariç, Sözleşme’nin 2. maddesini</w:t>
      </w:r>
      <w:r>
        <w:t xml:space="preserve"> usul yönünden ihlal ettiği sonucunu çıkarmaktayım. Buradan yola çıkarak, kararın işlevsel kısmının ikinci noktası ve o kısmın diğer tüm noktalarına ilişkin olarak çoğunlukla aynı fikirdeyim.</w:t>
      </w:r>
    </w:p>
    <w:p w:rsidR="00AC2B71" w:rsidRPr="007C6A77" w:rsidRDefault="00AC2B71" w:rsidP="00EB447C">
      <w:pPr>
        <w:rPr>
          <w:rStyle w:val="YerTutucuMetni"/>
          <w:highlight w:val="yellow"/>
        </w:rPr>
      </w:pPr>
    </w:p>
    <w:p w:rsidR="00AC2B71" w:rsidRPr="007C6A77" w:rsidRDefault="00AC2B71">
      <w:pPr>
        <w:jc w:val="left"/>
        <w:rPr>
          <w:highlight w:val="yellow"/>
        </w:rPr>
      </w:pPr>
      <w:r>
        <w:br w:type="page"/>
      </w:r>
    </w:p>
    <w:p w:rsidR="00AC2B71" w:rsidRPr="007C6A77" w:rsidRDefault="00AC2B71">
      <w:pPr>
        <w:jc w:val="left"/>
        <w:rPr>
          <w:rStyle w:val="YerTutucuMetni"/>
          <w:highlight w:val="yellow"/>
        </w:rPr>
      </w:pPr>
    </w:p>
    <w:p w:rsidR="00320679" w:rsidRPr="007C6A77" w:rsidRDefault="00320679" w:rsidP="00320679">
      <w:pPr>
        <w:pStyle w:val="ECHRTitleCentre1"/>
      </w:pPr>
      <w:r>
        <w:t>YARGIÇ KARAKAŞ VE PEJCHAL’in KISMİ MUHALEFET ŞERHİ</w:t>
      </w:r>
    </w:p>
    <w:p w:rsidR="00320679" w:rsidRPr="007C6A77" w:rsidRDefault="00BB2D2A" w:rsidP="00320679">
      <w:pPr>
        <w:pStyle w:val="OpiPara"/>
        <w:rPr>
          <w:szCs w:val="24"/>
        </w:rPr>
      </w:pPr>
      <w:r w:rsidRPr="007C6A77">
        <w:fldChar w:fldCharType="begin"/>
      </w:r>
      <w:r w:rsidR="006A4D56" w:rsidRPr="007C6A77">
        <w:instrText xml:space="preserve"> SEQ level0 \*arabic \r1 </w:instrText>
      </w:r>
      <w:r w:rsidRPr="007C6A77">
        <w:fldChar w:fldCharType="separate"/>
      </w:r>
      <w:r w:rsidR="00332D11">
        <w:rPr>
          <w:noProof/>
        </w:rPr>
        <w:t>1</w:t>
      </w:r>
      <w:r w:rsidRPr="007C6A77">
        <w:fldChar w:fldCharType="end"/>
      </w:r>
      <w:r w:rsidR="006A4D56">
        <w:t xml:space="preserve">.  Diğer tüm meslektaşların affına sığınarak, Sözleşme’nin 2. maddesinin usul yönü kapsamında Kıbrıs tarafından herhangi bir ihlalin gerçekleştirilmediğine dair görüş konusunda çoğunlukla aynı fikirde değiliz. Aşağıda kısaca açıklanacak gerekçelerden dolayı, biz Kıbrıs’ın da Türkiye ve </w:t>
      </w:r>
      <w:r w:rsidR="008B4471">
        <w:t>“KKTC”</w:t>
      </w:r>
      <w:r w:rsidR="006A4D56">
        <w:t xml:space="preserve"> makamlarıyla işbirliği yapma yükümlülüğünü yerine getirmediğini ve dolayısıyla Kıbrıs’ın Sözleşme’nin 2. maddesinin usul yönünden ihlal ettiğini düşünmekteyiz. </w:t>
      </w:r>
    </w:p>
    <w:p w:rsidR="00320679" w:rsidRPr="007C6A77" w:rsidRDefault="00BB2D2A" w:rsidP="00320679">
      <w:pPr>
        <w:pStyle w:val="OpiPara"/>
        <w:rPr>
          <w:szCs w:val="24"/>
        </w:rPr>
      </w:pPr>
      <w:r w:rsidRPr="007C6A77">
        <w:rPr>
          <w:szCs w:val="24"/>
        </w:rPr>
        <w:fldChar w:fldCharType="begin"/>
      </w:r>
      <w:r w:rsidR="00320679" w:rsidRPr="007C6A77">
        <w:rPr>
          <w:szCs w:val="24"/>
        </w:rPr>
        <w:instrText xml:space="preserve"> SEQ level0 \*arabic </w:instrText>
      </w:r>
      <w:r w:rsidRPr="007C6A77">
        <w:rPr>
          <w:szCs w:val="24"/>
        </w:rPr>
        <w:fldChar w:fldCharType="separate"/>
      </w:r>
      <w:r w:rsidR="00332D11">
        <w:rPr>
          <w:noProof/>
          <w:szCs w:val="24"/>
        </w:rPr>
        <w:t>2</w:t>
      </w:r>
      <w:r w:rsidRPr="007C6A77">
        <w:rPr>
          <w:szCs w:val="24"/>
        </w:rPr>
        <w:fldChar w:fldCharType="end"/>
      </w:r>
      <w:r w:rsidR="00320679">
        <w:t>. Büyük Dairenin, her bir davalı Devletin makamlarınca yürütülen paralel soruşturmaların genel yeterliliğine ilişkin bulguları kabul ettiğini belirtmekteyiz. Bu doğrultuda, Büyük Daire, mevcut davadaki sorunun en önemli noktasının 2.madde kapsamındaki usul yükümlülüğünün bir parçası olarak işbirliği yapma görevinin mevcudiyeti ve kapsamı olduğu görüşündedir. (bk. 221. paragraf).</w:t>
      </w:r>
    </w:p>
    <w:p w:rsidR="00320679" w:rsidRPr="007C6A77" w:rsidRDefault="00BB2D2A" w:rsidP="00320679">
      <w:pPr>
        <w:pStyle w:val="OpiPara"/>
        <w:rPr>
          <w:szCs w:val="24"/>
        </w:rPr>
      </w:pPr>
      <w:r w:rsidRPr="007C6A77">
        <w:rPr>
          <w:szCs w:val="24"/>
        </w:rPr>
        <w:fldChar w:fldCharType="begin"/>
      </w:r>
      <w:r w:rsidR="00320679" w:rsidRPr="007C6A77">
        <w:rPr>
          <w:szCs w:val="24"/>
        </w:rPr>
        <w:instrText xml:space="preserve"> SEQ level0 \*arabic </w:instrText>
      </w:r>
      <w:r w:rsidRPr="007C6A77">
        <w:rPr>
          <w:szCs w:val="24"/>
        </w:rPr>
        <w:fldChar w:fldCharType="separate"/>
      </w:r>
      <w:r w:rsidR="00332D11">
        <w:rPr>
          <w:noProof/>
          <w:szCs w:val="24"/>
        </w:rPr>
        <w:t>3</w:t>
      </w:r>
      <w:r w:rsidRPr="007C6A77">
        <w:rPr>
          <w:szCs w:val="24"/>
        </w:rPr>
        <w:fldChar w:fldCharType="end"/>
      </w:r>
      <w:r w:rsidR="00320679">
        <w:t>.  Bu bağlantıdan yola çıkarak, kararın 229-38. paragraflarında öne sürülen, sınır ötesi</w:t>
      </w:r>
      <w:r w:rsidR="00320679">
        <w:noBreakHyphen/>
        <w:t xml:space="preserve">bağlamda Sözleşme’nin 2. maddesi kapsamındaki usul yükümlülüğünün ölçüsünü netleştiren genel ilkelere tamamen katılmaktayız. Özellikle, Büyük Daire belirli koşullarda (bk. 233. paragraf) aşağıdaki yargıya varmıştır: </w:t>
      </w:r>
    </w:p>
    <w:p w:rsidR="00320679" w:rsidRPr="007C6A77" w:rsidRDefault="00320679" w:rsidP="00A936F2">
      <w:pPr>
        <w:pStyle w:val="OpiQuot"/>
      </w:pPr>
      <w:r>
        <w:t>“2. madde her iki Devlete yardım isteme ve yardım etme şeklinde çift taraflı yükümlülük getirebilir.” Bu yükümlülüklerin mahiyeti ve kapsamı, kaçınılmaz olarak belli başlı delillerin ilgili Akit Devletin topraklarında bulunup bulunmadığı veya şüphelilerin sözkonusu Devlete kaçıp kaçmadığı gibi her bir özel davanın koşullarına bağlı olacaktır.”</w:t>
      </w:r>
    </w:p>
    <w:p w:rsidR="00320679" w:rsidRPr="007C6A77" w:rsidRDefault="00BB2D2A" w:rsidP="00320679">
      <w:pPr>
        <w:pStyle w:val="OpiPara"/>
      </w:pPr>
      <w:r w:rsidRPr="007C6A77">
        <w:fldChar w:fldCharType="begin"/>
      </w:r>
      <w:r w:rsidR="00320679" w:rsidRPr="007C6A77">
        <w:instrText xml:space="preserve"> SEQ level0 \*arabic </w:instrText>
      </w:r>
      <w:r w:rsidRPr="007C6A77">
        <w:fldChar w:fldCharType="separate"/>
      </w:r>
      <w:r w:rsidR="00332D11">
        <w:rPr>
          <w:noProof/>
        </w:rPr>
        <w:t>4</w:t>
      </w:r>
      <w:r w:rsidRPr="007C6A77">
        <w:fldChar w:fldCharType="end"/>
      </w:r>
      <w:r w:rsidR="00320679">
        <w:t xml:space="preserve">.   Büyük Daire, her iki Devletin de başvuranların yakınlarının ölümlerini soruşturmak için 2. maddeden doğan usul yükümlülükleri gereği birbirleriyle işbirliği yapmakla yükümlü olduğuna karar vermiştir. </w:t>
      </w:r>
    </w:p>
    <w:p w:rsidR="00320679" w:rsidRPr="007C6A77" w:rsidRDefault="00BB2D2A" w:rsidP="00320679">
      <w:pPr>
        <w:pStyle w:val="OpiPara"/>
      </w:pPr>
      <w:r w:rsidRPr="007C6A77">
        <w:fldChar w:fldCharType="begin"/>
      </w:r>
      <w:r w:rsidR="00320679" w:rsidRPr="007C6A77">
        <w:instrText xml:space="preserve"> SEQ level0 \*arabic </w:instrText>
      </w:r>
      <w:r w:rsidRPr="007C6A77">
        <w:fldChar w:fldCharType="separate"/>
      </w:r>
      <w:r w:rsidR="00332D11">
        <w:rPr>
          <w:noProof/>
        </w:rPr>
        <w:t>5</w:t>
      </w:r>
      <w:r w:rsidRPr="007C6A77">
        <w:fldChar w:fldCharType="end"/>
      </w:r>
      <w:r w:rsidR="00320679">
        <w:t>.  Mevcut davada bu yükümlülüklerine mahiyeti ve kapsamına ilişkin olarak, Büyük Daire aşağıdaki karara varmıştır (bk. 237. paragraf):</w:t>
      </w:r>
    </w:p>
    <w:p w:rsidR="00320679" w:rsidRPr="007C6A77" w:rsidRDefault="00320679" w:rsidP="00A936F2">
      <w:pPr>
        <w:pStyle w:val="OpiQuot"/>
      </w:pPr>
      <w:r>
        <w:t xml:space="preserve">“...bu davanın </w:t>
      </w:r>
      <w:r w:rsidR="000D09DC">
        <w:t xml:space="preserve">belirli </w:t>
      </w:r>
      <w:r>
        <w:t>özelliği; iddia edilen işbirliği eksikliğinin Sözleşme’nin amaçları doğrultusunda Kıbrıs’ın uluslararası düzeyde tanınan ancak Türkiye’nin etkin kontrolü altında bulunan topraklarda kurulan de facto bir oluşumu içermesidir (bk.</w:t>
      </w:r>
      <w:r>
        <w:rPr>
          <w:i/>
        </w:rPr>
        <w:t xml:space="preserve"> Kıbrıs/Türkiye</w:t>
      </w:r>
      <w:r>
        <w:t xml:space="preserve">, yukarıda anılan, §§ 61 ve 77 paragraflar). İki davalı Devlet arasında resmi diplomatik ilişki olmadığı için, her iki Devletin taraf olduğu uluslararası antlaşmalar (Avrupa Konseyi antlaşmaları, bk. ilgili uluslararası hukuk), her iki Devletin de birbiriyle işbirliği yapmak için mevcut tüm </w:t>
      </w:r>
      <w:r w:rsidR="00BC1DC1">
        <w:t>imkânları</w:t>
      </w:r>
      <w:r>
        <w:t xml:space="preserve"> kullanıp kullanmadığının belirlenmesinde tek başvuru çerçevesi olarak kullanılamaz. Resmi diplomatik ilişkilerin yokluğunda, resmileştirilmiş işbirliği yollarının başarısız olması daha muhtemeldir ve Devletlerin örneğin üçüncü Devletler veya uluslararası kuruluşlar yoluyla diğer daha gayriresmi ve dolaylı kanalları kullanması gerekebilir.”</w:t>
      </w:r>
    </w:p>
    <w:p w:rsidR="00320679" w:rsidRPr="007C6A77" w:rsidRDefault="00BB2D2A" w:rsidP="00320679">
      <w:pPr>
        <w:pStyle w:val="OpiPara"/>
        <w:rPr>
          <w:szCs w:val="24"/>
        </w:rPr>
      </w:pPr>
      <w:r w:rsidRPr="007C6A77">
        <w:rPr>
          <w:szCs w:val="24"/>
        </w:rPr>
        <w:fldChar w:fldCharType="begin"/>
      </w:r>
      <w:r w:rsidR="00320679" w:rsidRPr="007C6A77">
        <w:rPr>
          <w:szCs w:val="24"/>
        </w:rPr>
        <w:instrText xml:space="preserve"> SEQ level0 \*arabic </w:instrText>
      </w:r>
      <w:r w:rsidRPr="007C6A77">
        <w:rPr>
          <w:szCs w:val="24"/>
        </w:rPr>
        <w:fldChar w:fldCharType="separate"/>
      </w:r>
      <w:r w:rsidR="00332D11">
        <w:rPr>
          <w:noProof/>
          <w:szCs w:val="24"/>
        </w:rPr>
        <w:t>6</w:t>
      </w:r>
      <w:r w:rsidRPr="007C6A77">
        <w:rPr>
          <w:szCs w:val="24"/>
        </w:rPr>
        <w:fldChar w:fldCharType="end"/>
      </w:r>
      <w:r w:rsidR="00320679">
        <w:t xml:space="preserve">.  Ancak, Kıbrıs’la ilgili genel ilkelerin uygulanması </w:t>
      </w:r>
      <w:r w:rsidR="00E154EF">
        <w:t>sözkonusu</w:t>
      </w:r>
      <w:r w:rsidR="00320679">
        <w:t xml:space="preserve"> olduğunda, bizim görüşümüze göre, çoğunluk Devletin, mevcut davanın oldukça kendine özgü koşullarını dikkate alarak usul yükümlülüklerine uyumunu doğru bir şekilde değerlendirememiştir. </w:t>
      </w:r>
    </w:p>
    <w:p w:rsidR="00320679" w:rsidRPr="007C6A77" w:rsidRDefault="00BB2D2A" w:rsidP="00320679">
      <w:pPr>
        <w:pStyle w:val="OpiPara"/>
        <w:rPr>
          <w:szCs w:val="24"/>
        </w:rPr>
      </w:pPr>
      <w:r w:rsidRPr="007C6A77">
        <w:rPr>
          <w:szCs w:val="24"/>
        </w:rPr>
        <w:fldChar w:fldCharType="begin"/>
      </w:r>
      <w:r w:rsidR="00320679" w:rsidRPr="007C6A77">
        <w:rPr>
          <w:szCs w:val="24"/>
        </w:rPr>
        <w:instrText xml:space="preserve"> SEQ level0 \*arabic </w:instrText>
      </w:r>
      <w:r w:rsidRPr="007C6A77">
        <w:rPr>
          <w:szCs w:val="24"/>
        </w:rPr>
        <w:fldChar w:fldCharType="separate"/>
      </w:r>
      <w:r w:rsidR="00332D11">
        <w:rPr>
          <w:noProof/>
          <w:szCs w:val="24"/>
        </w:rPr>
        <w:t>7</w:t>
      </w:r>
      <w:r w:rsidRPr="007C6A77">
        <w:rPr>
          <w:szCs w:val="24"/>
        </w:rPr>
        <w:fldChar w:fldCharType="end"/>
      </w:r>
      <w:r w:rsidR="00320679">
        <w:t xml:space="preserve">.  Büyük Daire, Kıbrıs’ın üç ayrı başlık altında işbirliği yapma yükümlülüğünü incelemiştir. Büyük Daire ilk olarak, Kıbrıs’ın şüphelilerin Türkiye tarafından teslimini/iadesini talep etmek için makul tüm yolları kullanıp kullanmadığı sorusunu incelemiş ve kullandığı kararına varmıştır (bk. 241-45. paragraflar). İkinci olarak, Kıbrıs’ın tüm delilleri </w:t>
      </w:r>
      <w:r w:rsidR="008B4471">
        <w:t>“KKTC”</w:t>
      </w:r>
      <w:r w:rsidR="00320679">
        <w:t xml:space="preserve"> makamları veya Türkiye’ye temin etme yükümlülüğü olup olmadığını soruşturmuştur ve sonuç olarak böyle bir yükümlülüğünün olmadığı yargısına varmıştır (bk. 246-55. paragraflar). Son olarak, Büyük Daire Kıbrıs’ın da Kıbrıs’taki </w:t>
      </w:r>
      <w:r w:rsidR="00E562AE">
        <w:t>BMBG</w:t>
      </w:r>
      <w:r w:rsidR="00320679">
        <w:t xml:space="preserve"> tarafından tavsiye edildiği gibi diğer işbirliği yöntemlerini kullanma yükümlülüğü altında olmadığı görüşünü benimsemiştir. </w:t>
      </w:r>
    </w:p>
    <w:p w:rsidR="00320679" w:rsidRPr="007C6A77" w:rsidRDefault="00BB2D2A" w:rsidP="00320679">
      <w:pPr>
        <w:pStyle w:val="OpiPara"/>
      </w:pPr>
      <w:r w:rsidRPr="007C6A77">
        <w:fldChar w:fldCharType="begin"/>
      </w:r>
      <w:r w:rsidR="00320679" w:rsidRPr="007C6A77">
        <w:instrText xml:space="preserve"> SEQ level0 \*arabic </w:instrText>
      </w:r>
      <w:r w:rsidRPr="007C6A77">
        <w:fldChar w:fldCharType="separate"/>
      </w:r>
      <w:r w:rsidR="00332D11">
        <w:rPr>
          <w:noProof/>
        </w:rPr>
        <w:t>8</w:t>
      </w:r>
      <w:r w:rsidRPr="007C6A77">
        <w:fldChar w:fldCharType="end"/>
      </w:r>
      <w:r w:rsidR="00320679">
        <w:t xml:space="preserve">.  İlk soruya ilişkin olarak varılan sonuç dışında, Büyük Daire huzurundaki materyal, bu korkunç suç ile bağlantılı olarak tespit edilen ve tutuklanan şüpheliler ve toplanan bolca kanıta rağmen, Kıbrıs ve </w:t>
      </w:r>
      <w:r w:rsidR="008B4471">
        <w:t>“KKTC”</w:t>
      </w:r>
      <w:r w:rsidR="00320679">
        <w:t xml:space="preserve">de yürütülen soruşturmaların çıkmaza girdiğini gösterdiğinden bu sonuçlara katılmamaktayız çünkü hem Kıbrıs hem de Türkiye kendi konumlarında herhangi bir uzlaşıya gitme ve ikisi arasındaki çoktandır devam eden ve yoğun siyasi anlaşmazlık nedeniyle ortak bir yol bulmaya hazırlıklı değildi. </w:t>
      </w:r>
    </w:p>
    <w:p w:rsidR="00320679" w:rsidRPr="007C6A77" w:rsidRDefault="00BB2D2A" w:rsidP="00320679">
      <w:pPr>
        <w:pStyle w:val="OpiPara"/>
      </w:pPr>
      <w:r w:rsidRPr="007C6A77">
        <w:fldChar w:fldCharType="begin"/>
      </w:r>
      <w:r w:rsidR="00320679" w:rsidRPr="007C6A77">
        <w:instrText xml:space="preserve"> SEQ level0 \*arabic </w:instrText>
      </w:r>
      <w:r w:rsidRPr="007C6A77">
        <w:fldChar w:fldCharType="separate"/>
      </w:r>
      <w:r w:rsidR="00332D11">
        <w:rPr>
          <w:noProof/>
        </w:rPr>
        <w:t>9</w:t>
      </w:r>
      <w:r w:rsidRPr="007C6A77">
        <w:fldChar w:fldCharType="end"/>
      </w:r>
      <w:r w:rsidR="00320679">
        <w:t xml:space="preserve">.  Özellikle, Türkiye’nin </w:t>
      </w:r>
      <w:r w:rsidR="008B4471">
        <w:t>“KKTC”</w:t>
      </w:r>
      <w:r w:rsidR="00320679">
        <w:t xml:space="preserve"> makamları aracılığıyla ve Kıbrıs’taki </w:t>
      </w:r>
      <w:r w:rsidR="00E562AE">
        <w:t>BMBG</w:t>
      </w:r>
      <w:r w:rsidR="00320679">
        <w:t xml:space="preserve"> arabuluculuğu çerçevesinde, Kıbrıs’tan şüphelilerin tutuklu kalmalarının ve </w:t>
      </w:r>
      <w:r w:rsidR="008B4471">
        <w:t>“KKTC”</w:t>
      </w:r>
      <w:r w:rsidR="00320679">
        <w:t xml:space="preserve">de kendi yürüttüğü soruşturmanın devam etmesi için delil talep ettiği konusu  görüşülmemiştir (bk. 110., 115., 122., 123. ve 126. paragraflar). Kıbrıs tarafından, tüm delillerin Türkiye veya </w:t>
      </w:r>
      <w:r w:rsidR="008B4471">
        <w:t>“KKTC”</w:t>
      </w:r>
      <w:r w:rsidR="00320679">
        <w:t xml:space="preserve"> makamlarına temin edilmesini reddetmeyi gerekçelendirmek için öne sürülen nedenler; ya delillerin </w:t>
      </w:r>
      <w:r w:rsidR="008B4471">
        <w:t>“KKTC”</w:t>
      </w:r>
      <w:r w:rsidR="00320679">
        <w:t xml:space="preserve"> ye temin edilmesinin şüphelilerin hukuka aykırı bir şekilde tutuklanmasına ve Sözleşme kapsamında hukuka aykırı mahkemeler tarafından yargılanmasına (bk. 247. paragraf) ya da bu türden bir işbirliğinin tanımama</w:t>
      </w:r>
      <w:r w:rsidR="00320679">
        <w:noBreakHyphen/>
        <w:t xml:space="preserve">ilkesine ilişkin uluslararası teamül hukukunun ihlaline yol açmıştır. </w:t>
      </w:r>
    </w:p>
    <w:p w:rsidR="00320679" w:rsidRPr="007C6A77" w:rsidRDefault="00BB2D2A" w:rsidP="00320679">
      <w:pPr>
        <w:pStyle w:val="OpiPara"/>
        <w:rPr>
          <w:szCs w:val="24"/>
        </w:rPr>
      </w:pPr>
      <w:r w:rsidRPr="007C6A77">
        <w:fldChar w:fldCharType="begin"/>
      </w:r>
      <w:r w:rsidR="00320679" w:rsidRPr="007C6A77">
        <w:instrText xml:space="preserve"> SEQ level0 \*arabic </w:instrText>
      </w:r>
      <w:r w:rsidRPr="007C6A77">
        <w:fldChar w:fldCharType="separate"/>
      </w:r>
      <w:r w:rsidR="00332D11">
        <w:rPr>
          <w:noProof/>
        </w:rPr>
        <w:t>10</w:t>
      </w:r>
      <w:r w:rsidRPr="007C6A77">
        <w:fldChar w:fldCharType="end"/>
      </w:r>
      <w:r w:rsidR="00320679">
        <w:t xml:space="preserve">.  Bu savları desteklemek için; Mahkemenin, </w:t>
      </w:r>
      <w:r w:rsidR="008B4471">
        <w:t>“KKTC”</w:t>
      </w:r>
      <w:r w:rsidR="00320679">
        <w:t xml:space="preserve"> mukimlerine veya KKTC makamlarının eylemlerinden etkilenen kişilere ilişkin </w:t>
      </w:r>
      <w:r w:rsidR="008B4471">
        <w:t>“KKTC”</w:t>
      </w:r>
      <w:r w:rsidR="00320679">
        <w:t xml:space="preserve"> makamlarınca tesis edilen kanun yolları veya kabul edilen tedbirleri Sözleşme’nin amaçları doğrultusunda geçerliliğini kabul ettiği durumlarda (bk. 250. paragraf), 250. paragrafta çoğunluk mevcut davadaki durumu 248. ve 249. paragraflarda anılan Mahkemenin oturmuş</w:t>
      </w:r>
      <w:r w:rsidR="00320679">
        <w:noBreakHyphen/>
        <w:t xml:space="preserve">içtihadından ayırt etme girişiminde bulunmuştur (bk., özellikle, </w:t>
      </w:r>
      <w:r w:rsidR="00320679">
        <w:rPr>
          <w:i/>
        </w:rPr>
        <w:t>Kıbrıs-Türkiye,</w:t>
      </w:r>
      <w:r w:rsidR="00320679">
        <w:t xml:space="preserve"> yukarıda anılan, §§ 61 ve 238; </w:t>
      </w:r>
      <w:r w:rsidR="00320679">
        <w:rPr>
          <w:i/>
        </w:rPr>
        <w:t xml:space="preserve">Demopoulos ve Diğerleri, </w:t>
      </w:r>
      <w:r w:rsidR="00320679">
        <w:t xml:space="preserve">yukarıda anılan, §§ 95-96; ve </w:t>
      </w:r>
      <w:r w:rsidR="00320679">
        <w:rPr>
          <w:i/>
        </w:rPr>
        <w:t xml:space="preserve">Foka, </w:t>
      </w:r>
      <w:r w:rsidR="00320679">
        <w:t>yukarıda anılan, §§ 83-84).  Bunun yerine aşağıda belirtilen görüştedir:</w:t>
      </w:r>
    </w:p>
    <w:p w:rsidR="00320679" w:rsidRPr="007C6A77" w:rsidRDefault="00320679" w:rsidP="00A936F2">
      <w:pPr>
        <w:pStyle w:val="OpiQuot"/>
      </w:pPr>
      <w:r>
        <w:t>“...mevcut davada, ortaya çıkan soru adanın Türkiye’nin etkin kontrolü altındaki kuzey kısmında herhangi bir kontrolü bulunmayan Kıbrıs Cumhuriyeti’nin Kıbrıs’ın meşru hükümeti olarak kuzeyde sözü geçen bu topraklarda (’KKTC’) kurulan de facto makamlarla, bu makamlara veya işgale dolaylı olarak hukuki geçerlilik vermeden işbirliği yapıp yapamayacağıdır. Mahkemenin görüşüne göre, bu durum Kıbrıs dışında bir Akit Devletin bu makamlarla işbirliği yaptığı durumdan da farklıdır (bk. örneğin, yukarıda 214. paragrafta atıfta bulunulan Birleşik Krallık polisi ve ‘KKTC’ makamları).</w:t>
      </w:r>
    </w:p>
    <w:p w:rsidR="00320679" w:rsidRPr="007C6A77" w:rsidRDefault="00BB2D2A" w:rsidP="00320679">
      <w:pPr>
        <w:pStyle w:val="OpiPara"/>
      </w:pPr>
      <w:r w:rsidRPr="007C6A77">
        <w:rPr>
          <w:szCs w:val="24"/>
        </w:rPr>
        <w:fldChar w:fldCharType="begin"/>
      </w:r>
      <w:r w:rsidR="00320679" w:rsidRPr="007C6A77">
        <w:rPr>
          <w:szCs w:val="24"/>
        </w:rPr>
        <w:instrText xml:space="preserve"> SEQ level0 \*arabic </w:instrText>
      </w:r>
      <w:r w:rsidRPr="007C6A77">
        <w:rPr>
          <w:szCs w:val="24"/>
        </w:rPr>
        <w:fldChar w:fldCharType="separate"/>
      </w:r>
      <w:r w:rsidR="00332D11">
        <w:rPr>
          <w:noProof/>
          <w:szCs w:val="24"/>
        </w:rPr>
        <w:t>11</w:t>
      </w:r>
      <w:r w:rsidRPr="007C6A77">
        <w:rPr>
          <w:szCs w:val="24"/>
        </w:rPr>
        <w:fldChar w:fldCharType="end"/>
      </w:r>
      <w:r w:rsidR="00320679">
        <w:t xml:space="preserve">.  Uluslararası hukuk kapsamında hiçbir destek mevcut değildir (ve dolayısıyla Mahkeme uluslararası hukuka atıfta bulunarak bu iddiayı destekleyememektedir) ve bu türden bir işbirliğinin, imada bulunarak veya başka bir şekilde, </w:t>
      </w:r>
      <w:r w:rsidR="008B4471">
        <w:t>“KKTC”</w:t>
      </w:r>
      <w:r w:rsidR="00320679">
        <w:t xml:space="preserve">nin tanınması olarak anlaşılması diğer Devletlerin uygulamasından kaynaklanmamaktadır. Örneğin; Birleşik Krallık, </w:t>
      </w:r>
      <w:r w:rsidR="008B4471">
        <w:t>“KKTC”</w:t>
      </w:r>
      <w:r w:rsidR="00320679">
        <w:t xml:space="preserve">ye yönelik herhangi bir tanıma gerçekleştirmeksizin </w:t>
      </w:r>
      <w:r w:rsidR="008B4471">
        <w:t>“KKTC”</w:t>
      </w:r>
      <w:r w:rsidR="00320679">
        <w:t xml:space="preserve"> ile cezai işlem gerektiren davalarda işbirliği gerçekleştirmiştir (bk. </w:t>
      </w:r>
      <w:r w:rsidR="00320679">
        <w:rPr>
          <w:i/>
        </w:rPr>
        <w:t xml:space="preserve">Başsavcı- Özgay Yorgun KKTC Lefkoşa Ağır Ceza Mahkemesi, </w:t>
      </w:r>
      <w:r w:rsidR="00320679">
        <w:t xml:space="preserve">dava </w:t>
      </w:r>
      <w:r w:rsidR="00964336">
        <w:t>No.</w:t>
      </w:r>
      <w:r w:rsidR="00320679">
        <w:t xml:space="preserve"> 5719/99</w:t>
      </w:r>
      <w:r w:rsidR="00320679">
        <w:rPr>
          <w:i/>
        </w:rPr>
        <w:t xml:space="preserve"> </w:t>
      </w:r>
      <w:r w:rsidR="00320679">
        <w:t xml:space="preserve">Temyiz Mahkemesi başvuru </w:t>
      </w:r>
      <w:r w:rsidR="00964336">
        <w:t>No.</w:t>
      </w:r>
      <w:r w:rsidR="00320679">
        <w:t xml:space="preserve"> 67/99; bu davada Birleşik Krallık makamları; Daire kararının § 244’te belirtildiği üzere, şüphelilerin kovuşturması için tanık ve delil temin etmiştir). Bu anlamda, İngiltere ve Galler Yüksek Mahkemesi, “Kuzey Kıbrıs” makamları ile polisler arasında gerçekleştirilen işbirliğini tanımayı ima ettiği anlamına geldiği savını reddetmiştir (bk. </w:t>
      </w:r>
      <w:r w:rsidR="00320679">
        <w:rPr>
          <w:i/>
        </w:rPr>
        <w:t>R. (Akarçay başvurusunda) - West Yorkshire Emniyet Müdürü</w:t>
      </w:r>
      <w:r w:rsidR="00320679">
        <w:t>,</w:t>
      </w:r>
      <w:r w:rsidR="00320679">
        <w:rPr>
          <w:rFonts w:ascii="Arial" w:hAnsi="Arial"/>
          <w:color w:val="444444"/>
        </w:rPr>
        <w:t xml:space="preserve"> </w:t>
      </w:r>
      <w:r w:rsidR="00320679">
        <w:t xml:space="preserve">[2017] Londra Yüksek Mahkemesi 159). Çoğunluğun yaklaşımı; basit bir ifadeyle, </w:t>
      </w:r>
      <w:r w:rsidR="008B4471">
        <w:t>“KKTC”</w:t>
      </w:r>
      <w:r w:rsidR="00320679">
        <w:t xml:space="preserve"> ile işbirliği </w:t>
      </w:r>
      <w:r w:rsidR="00E154EF">
        <w:t>sözkonusu</w:t>
      </w:r>
      <w:r w:rsidR="00320679">
        <w:t xml:space="preserve"> olduğunda, Kıbrıs’ın 2. madde kapsamında işbirliği yapmaya yönelik usul yükümlülüğüne bağlı olmadığını söylemektir.</w:t>
      </w:r>
    </w:p>
    <w:p w:rsidR="00320679" w:rsidRPr="007C6A77" w:rsidRDefault="00BB2D2A" w:rsidP="00320679">
      <w:pPr>
        <w:pStyle w:val="OpiPara"/>
        <w:rPr>
          <w:szCs w:val="24"/>
        </w:rPr>
      </w:pPr>
      <w:r w:rsidRPr="007C6A77">
        <w:rPr>
          <w:szCs w:val="24"/>
        </w:rPr>
        <w:fldChar w:fldCharType="begin"/>
      </w:r>
      <w:r w:rsidR="00320679" w:rsidRPr="007C6A77">
        <w:rPr>
          <w:szCs w:val="24"/>
        </w:rPr>
        <w:instrText xml:space="preserve"> SEQ level0 \*arabic </w:instrText>
      </w:r>
      <w:r w:rsidRPr="007C6A77">
        <w:rPr>
          <w:szCs w:val="24"/>
        </w:rPr>
        <w:fldChar w:fldCharType="separate"/>
      </w:r>
      <w:r w:rsidR="00332D11">
        <w:rPr>
          <w:noProof/>
          <w:szCs w:val="24"/>
        </w:rPr>
        <w:t>12</w:t>
      </w:r>
      <w:r w:rsidRPr="007C6A77">
        <w:rPr>
          <w:szCs w:val="24"/>
        </w:rPr>
        <w:fldChar w:fldCharType="end"/>
      </w:r>
      <w:r w:rsidR="00320679">
        <w:t xml:space="preserve">.  Son olarak çoğunluk, mevcut davada, resmi diplomatik ilişkilerin yokluğunda, resmileştirilmiş işbirliği araçlarının başarısız olmasının daha muhtemel olduğunu ve Devletlerin örneğin üçüncü Devletler veya uluslararası kuruluşlar yoluyla, diğer daha gayriresmi ve dolaylı işbirliği kanallarını kullanmalarının gerekebileceğini kabul ederken, Kıbrıs ve </w:t>
      </w:r>
      <w:r w:rsidR="008B4471">
        <w:t>“KKTC”</w:t>
      </w:r>
      <w:r w:rsidR="00320679">
        <w:t xml:space="preserve"> arasındaki işbirliğini kolaylaştırmak için Kıbrıs’taki </w:t>
      </w:r>
      <w:r w:rsidR="00E562AE">
        <w:t>BMBG</w:t>
      </w:r>
      <w:r w:rsidR="00BC1DC1">
        <w:t xml:space="preserve"> tarafından</w:t>
      </w:r>
      <w:r w:rsidR="00320679">
        <w:t xml:space="preserve"> getirilen pek çok önerinin geçerliliğini ve hatta mümkünatını dikkate almayı reddetmektedir. Yalnızca, tarafsız bir </w:t>
      </w:r>
      <w:r w:rsidR="005D64B5">
        <w:t>mekânda</w:t>
      </w:r>
      <w:r w:rsidR="00320679">
        <w:t xml:space="preserve"> </w:t>
      </w:r>
      <w:r w:rsidR="00320679">
        <w:rPr>
          <w:i/>
        </w:rPr>
        <w:t xml:space="preserve">ad hoc duruşma </w:t>
      </w:r>
      <w:r w:rsidR="00320679">
        <w:t xml:space="preserve">önerisi, çoğunluk tarafından iç hukukta veya uluslararası hukukta yetersiz temele sahip olmasından dolayı reddedilmiştir. Ancak, ifade edilen diğer önerilerin niçin gerçekleri daha fazla aydınlığa kavuşturamayacağı ve başvuranların akrabalarının cinayetinden sorumlu olanların ispat edilemeyeceğine ilişkin bir gerekçe sunulmamıştır. </w:t>
      </w:r>
    </w:p>
    <w:p w:rsidR="00320679" w:rsidRPr="007C6A77" w:rsidRDefault="00BB2D2A" w:rsidP="00320679">
      <w:pPr>
        <w:pStyle w:val="OpiPara"/>
        <w:rPr>
          <w:szCs w:val="24"/>
        </w:rPr>
      </w:pPr>
      <w:r w:rsidRPr="007C6A77">
        <w:rPr>
          <w:szCs w:val="24"/>
        </w:rPr>
        <w:fldChar w:fldCharType="begin"/>
      </w:r>
      <w:r w:rsidR="00320679" w:rsidRPr="007C6A77">
        <w:rPr>
          <w:szCs w:val="24"/>
        </w:rPr>
        <w:instrText xml:space="preserve"> SEQ level0 \*arabic </w:instrText>
      </w:r>
      <w:r w:rsidRPr="007C6A77">
        <w:rPr>
          <w:szCs w:val="24"/>
        </w:rPr>
        <w:fldChar w:fldCharType="separate"/>
      </w:r>
      <w:r w:rsidR="00332D11">
        <w:rPr>
          <w:noProof/>
          <w:szCs w:val="24"/>
        </w:rPr>
        <w:t>13</w:t>
      </w:r>
      <w:r w:rsidRPr="007C6A77">
        <w:rPr>
          <w:szCs w:val="24"/>
        </w:rPr>
        <w:fldChar w:fldCharType="end"/>
      </w:r>
      <w:r w:rsidR="00320679">
        <w:t xml:space="preserve">.  Bu noktaların her ikisine ilişkin olarak, aşağıda yer alan Daire kararının bulgularına katılmaktayız: </w:t>
      </w:r>
    </w:p>
    <w:p w:rsidR="00320679" w:rsidRPr="007C6A77" w:rsidRDefault="00320679" w:rsidP="00A936F2">
      <w:pPr>
        <w:pStyle w:val="OpiQuot"/>
      </w:pPr>
      <w:r>
        <w:t xml:space="preserve">“291. Kıbrıs Hükümeti tarafında, işbirliği yapma konusundaki isteksizliğe neden olan durumun </w:t>
      </w:r>
      <w:r w:rsidR="008B4471">
        <w:t>“KKTC”</w:t>
      </w:r>
      <w:r>
        <w:t xml:space="preserve">ye meşruiyet tanımayı reddetme (veya meşruiyet tanıma korkusu) olduğu açıktır. Bununla birlikte Mahkeme, bu davada soruşturmayı ilerletmek için işbirliği amacıyla atılan adımların </w:t>
      </w:r>
      <w:r w:rsidR="008B4471">
        <w:t>“KKTC”</w:t>
      </w:r>
      <w:r>
        <w:t xml:space="preserve">nin zımni olarak veya başka şekilde tanınması anlamına geleceğini kabul etmemektedir (bk. Kıbrıs/Türkiye, yukarıda anılan, 61 ve 238. paragraflar). Ayrıca, bu durum Türkiye’nin kuzey Kıbrıs üzerinde uluslararası alanda kabul gören bir egemenlik kurduğunun kabul edildiği anlamına da gelmemektedir (bk., gerekli değişikliklerin yapılması koşulu ile </w:t>
      </w:r>
      <w:r>
        <w:rPr>
          <w:i/>
        </w:rPr>
        <w:t>(mutatis mutandis)</w:t>
      </w:r>
      <w:r>
        <w:t xml:space="preserve"> </w:t>
      </w:r>
      <w:r>
        <w:rPr>
          <w:i/>
        </w:rPr>
        <w:t>Demopoulos,</w:t>
      </w:r>
      <w:r>
        <w:t xml:space="preserve"> yukarıda anılan, §§ 95-96, ve </w:t>
      </w:r>
      <w:r>
        <w:rPr>
          <w:i/>
        </w:rPr>
        <w:t>Foka / Türkiye</w:t>
      </w:r>
      <w:r>
        <w:t xml:space="preserve">, </w:t>
      </w:r>
      <w:r w:rsidR="00964336">
        <w:t>No.</w:t>
      </w:r>
      <w:r>
        <w:t xml:space="preserve"> 28940/95, §§ 83-84, 24 Haziran 2008). Örneğin Birleşik Krallık </w:t>
      </w:r>
      <w:r w:rsidR="008B4471">
        <w:t>“KKTC”</w:t>
      </w:r>
      <w:r>
        <w:t xml:space="preserve">yi tanımaksızın </w:t>
      </w:r>
      <w:r w:rsidR="008B4471">
        <w:t>“KKTC”</w:t>
      </w:r>
      <w:r>
        <w:t xml:space="preserve"> ile ceza davalarında işbirliği yapmıştır.” </w:t>
      </w:r>
    </w:p>
    <w:p w:rsidR="00320679" w:rsidRPr="007C6A77" w:rsidRDefault="00320679" w:rsidP="00A936F2">
      <w:pPr>
        <w:pStyle w:val="OpiQuot"/>
      </w:pPr>
      <w:r>
        <w:t xml:space="preserve"> ...</w:t>
      </w:r>
    </w:p>
    <w:p w:rsidR="00320679" w:rsidRPr="007C6A77" w:rsidRDefault="00320679" w:rsidP="00A936F2">
      <w:pPr>
        <w:pStyle w:val="OpiQuot"/>
        <w:rPr>
          <w:szCs w:val="24"/>
        </w:rPr>
      </w:pPr>
      <w:r>
        <w:t xml:space="preserve">293. Davalı Devletlerin, Kıbrıs’taki </w:t>
      </w:r>
      <w:r w:rsidR="00E562AE">
        <w:t>BMBG</w:t>
      </w:r>
      <w:r>
        <w:t xml:space="preserve"> aracılığıyla bir çözüm bulma ve uzlaşmaya varma fırsatı olmasına rağmen, </w:t>
      </w:r>
      <w:r w:rsidR="00E154EF">
        <w:t>sözkonusu</w:t>
      </w:r>
      <w:r>
        <w:t xml:space="preserve"> Devletler bu fırsatı tam olarak kullanmamışlardır. Uzlaşmacı bir çözüm bulmak veya ilgili makamların ortak noktada buluşmaları için sunulan öneriler, bu makamlar tarafından açıkça reddedilmiştir. Önerilen seçenekler arasında, Kıbrıs polisi ve </w:t>
      </w:r>
      <w:r w:rsidR="008B4471">
        <w:t>“KKTC”</w:t>
      </w:r>
      <w:r>
        <w:t xml:space="preserve"> polisi, Kıbrıs’taki </w:t>
      </w:r>
      <w:r w:rsidR="00E562AE">
        <w:t>BMBG</w:t>
      </w:r>
      <w:r>
        <w:t xml:space="preserve"> ve Egemen Üs Bölgesi polisi arasında tarafsız bir bölgede yapılacak toplantılar, BM tampon</w:t>
      </w:r>
      <w:r w:rsidR="00526AB6">
        <w:t xml:space="preserve"> bölgesindeki Ledra Palace Otelin</w:t>
      </w:r>
      <w:r>
        <w:t xml:space="preserve">de “video kaydı mülakat yöntemi” ile şüphelilerin sorgulanması, tarafsız bir bölgede geçici </w:t>
      </w:r>
      <w:r>
        <w:rPr>
          <w:i/>
        </w:rPr>
        <w:t>(ad hoc)</w:t>
      </w:r>
      <w:r>
        <w:t xml:space="preserve"> düzenleme veya duruşma </w:t>
      </w:r>
      <w:r w:rsidR="00BC1DC1">
        <w:t>imkânı</w:t>
      </w:r>
      <w:r>
        <w:t>, kanıt değişimi (belirli koşullar altında) ve meselenin teknik hizmetler düzeyinde ele alınması bulunmaktadır. Cezai konular da dâhil olmak üzere iki toplumlu çalışma grupları ve teknik komiteler kurulmuştur- bu komitelerden hiçbiri soruşturmayı ilerletmek için mevcut davayı ele almamıştır.</w:t>
      </w:r>
    </w:p>
    <w:p w:rsidR="00320679" w:rsidRPr="007C6A77" w:rsidRDefault="00BB2D2A" w:rsidP="00320679">
      <w:pPr>
        <w:pStyle w:val="OpiPara"/>
      </w:pPr>
      <w:r w:rsidRPr="007C6A77">
        <w:fldChar w:fldCharType="begin"/>
      </w:r>
      <w:r w:rsidR="00320679" w:rsidRPr="007C6A77">
        <w:instrText xml:space="preserve"> SEQ level0 \*arabic </w:instrText>
      </w:r>
      <w:r w:rsidRPr="007C6A77">
        <w:fldChar w:fldCharType="separate"/>
      </w:r>
      <w:r w:rsidR="00332D11">
        <w:rPr>
          <w:noProof/>
        </w:rPr>
        <w:t>14</w:t>
      </w:r>
      <w:r w:rsidRPr="007C6A77">
        <w:fldChar w:fldCharType="end"/>
      </w:r>
      <w:r w:rsidR="00320679">
        <w:t>.  Yukarıdaki hususlar ışığında, Kıbrıs makamlarının işbirliği yapmaması nedeniyle Sözleşme’nin 2. maddesinin usule yönelik kısmı uyarınca ihlal edildiği görüşündeyiz.</w:t>
      </w:r>
    </w:p>
    <w:p w:rsidR="00EB447C" w:rsidRPr="007C6A77" w:rsidRDefault="00EB447C" w:rsidP="00EB447C">
      <w:pPr>
        <w:rPr>
          <w:rFonts w:ascii="Times New Roman" w:hAnsi="Times New Roman" w:cs="Times New Roman"/>
          <w:highlight w:val="yellow"/>
        </w:rPr>
      </w:pPr>
    </w:p>
    <w:sectPr w:rsidR="00EB447C" w:rsidRPr="007C6A77" w:rsidSect="00AC2B71">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DA8" w:rsidRPr="009E0462" w:rsidRDefault="003F2DA8" w:rsidP="00DC4033">
      <w:pPr>
        <w:rPr>
          <w:lang w:val="en-GB"/>
        </w:rPr>
      </w:pPr>
      <w:r w:rsidRPr="009E0462">
        <w:rPr>
          <w:lang w:val="en-GB"/>
        </w:rPr>
        <w:separator/>
      </w:r>
    </w:p>
  </w:endnote>
  <w:endnote w:type="continuationSeparator" w:id="0">
    <w:p w:rsidR="003F2DA8" w:rsidRPr="009E0462" w:rsidRDefault="003F2DA8" w:rsidP="00DC4033">
      <w:pPr>
        <w:rPr>
          <w:lang w:val="en-GB"/>
        </w:rPr>
      </w:pPr>
      <w:r w:rsidRPr="009E0462">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71" w:rsidRPr="00150BFA" w:rsidRDefault="008B4471" w:rsidP="006777BE">
    <w:pPr>
      <w:jc w:val="center"/>
    </w:pPr>
    <w:r>
      <w:rPr>
        <w:noProof/>
        <w:lang w:bidi="ar-SA"/>
      </w:rPr>
      <w:drawing>
        <wp:inline distT="0" distB="0" distL="0" distR="0">
          <wp:extent cx="771525" cy="619125"/>
          <wp:effectExtent l="0" t="0" r="9525" b="9525"/>
          <wp:docPr id="14" name="Picture 1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B4471" w:rsidRPr="00A737D1" w:rsidRDefault="008B4471" w:rsidP="00A737D1">
    <w:pPr>
      <w:pStyle w:val="AltBilgi"/>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71" w:rsidRPr="00F6348B" w:rsidRDefault="008B4471" w:rsidP="006777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DA8" w:rsidRPr="009E0462" w:rsidRDefault="003F2DA8" w:rsidP="00DC4033">
      <w:pPr>
        <w:rPr>
          <w:lang w:val="en-GB"/>
        </w:rPr>
      </w:pPr>
      <w:r w:rsidRPr="009E0462">
        <w:rPr>
          <w:lang w:val="en-GB"/>
        </w:rPr>
        <w:separator/>
      </w:r>
    </w:p>
  </w:footnote>
  <w:footnote w:type="continuationSeparator" w:id="0">
    <w:p w:rsidR="003F2DA8" w:rsidRPr="009E0462" w:rsidRDefault="003F2DA8" w:rsidP="00DC4033">
      <w:pPr>
        <w:rPr>
          <w:lang w:val="en-GB"/>
        </w:rPr>
      </w:pPr>
      <w:r w:rsidRPr="009E0462">
        <w:rPr>
          <w:lang w:val="en-GB"/>
        </w:rPr>
        <w:continuationSeparator/>
      </w:r>
    </w:p>
  </w:footnote>
  <w:footnote w:id="1">
    <w:p w:rsidR="008B4471" w:rsidRPr="00C341A2" w:rsidRDefault="008B4471" w:rsidP="00F25813">
      <w:pPr>
        <w:pStyle w:val="DipnotMetni"/>
      </w:pPr>
      <w:r>
        <w:rPr>
          <w:rStyle w:val="DipnotBavurusu"/>
        </w:rPr>
        <w:footnoteRef/>
      </w:r>
      <w:r>
        <w:t xml:space="preserve"> “Toplu</w:t>
      </w:r>
      <w:r w:rsidR="008F6FAB">
        <w:t>m</w:t>
      </w:r>
      <w:r>
        <w:t xml:space="preserve">”, </w:t>
      </w:r>
      <w:r w:rsidR="008F6FAB">
        <w:t>Rum</w:t>
      </w:r>
      <w:r>
        <w:t xml:space="preserve"> veya Türk Toplumu anlamına gelmektedir (1960 Anayasasının 186. maddesi). </w:t>
      </w:r>
    </w:p>
    <w:p w:rsidR="008B4471" w:rsidRPr="004113E1" w:rsidRDefault="008B4471" w:rsidP="00F25813">
      <w:pPr>
        <w:pStyle w:val="DipnotMetni"/>
      </w:pPr>
    </w:p>
  </w:footnote>
  <w:footnote w:id="2">
    <w:p w:rsidR="008B4471" w:rsidRPr="0013380C" w:rsidRDefault="008B4471" w:rsidP="00F25813">
      <w:pPr>
        <w:pStyle w:val="DipnotMetni"/>
      </w:pPr>
      <w:r>
        <w:rPr>
          <w:rStyle w:val="DipnotBavurusu"/>
        </w:rPr>
        <w:footnoteRef/>
      </w:r>
      <w:r>
        <w:t xml:space="preserve"> </w:t>
      </w:r>
      <w:r>
        <w:rPr>
          <w:i/>
        </w:rPr>
        <w:t xml:space="preserve"> 276 (1970) sayılı Güvenlik Konseyi Kararı ve ICI Raporları, s. 16, İstişari Görüşe rağmen Namibya’da (Güney Batı Afrika) Güney Afrika’nın varlığının sürmesinin Devletler için Hukuki Sonuçları.</w:t>
      </w:r>
    </w:p>
  </w:footnote>
  <w:footnote w:id="3">
    <w:p w:rsidR="008B4471" w:rsidRPr="005552D2" w:rsidRDefault="008B4471" w:rsidP="005A79AD">
      <w:pPr>
        <w:rPr>
          <w:rFonts w:cs="Calibri"/>
          <w:color w:val="000000"/>
          <w:sz w:val="20"/>
          <w:szCs w:val="20"/>
          <w:shd w:val="clear" w:color="auto" w:fill="FFFFFF"/>
        </w:rPr>
      </w:pPr>
      <w:r>
        <w:rPr>
          <w:vertAlign w:val="superscript"/>
        </w:rPr>
        <w:footnoteRef/>
      </w:r>
      <w:r>
        <w:rPr>
          <w:vertAlign w:val="superscript"/>
        </w:rPr>
        <w:t>.</w:t>
      </w:r>
      <w:r>
        <w:t>  </w:t>
      </w:r>
      <w:r>
        <w:rPr>
          <w:sz w:val="20"/>
        </w:rPr>
        <w:t xml:space="preserve">Bu ilke ile ilgili olarak bk., </w:t>
      </w:r>
      <w:r>
        <w:rPr>
          <w:i/>
          <w:sz w:val="20"/>
        </w:rPr>
        <w:t>diğerlerinin yanı sıra</w:t>
      </w:r>
      <w:r>
        <w:rPr>
          <w:sz w:val="20"/>
        </w:rPr>
        <w:t>,</w:t>
      </w:r>
      <w:r>
        <w:rPr>
          <w:i/>
          <w:sz w:val="20"/>
        </w:rPr>
        <w:t xml:space="preserve"> </w:t>
      </w:r>
      <w:r>
        <w:rPr>
          <w:sz w:val="20"/>
        </w:rPr>
        <w:t xml:space="preserve">Daniel Rietiker, “‘Yakın zamandaki Avrupa İnsan Hakları Mahkemesi mahkeme içtihatlarında ‘etkililik ilkesi”: farklı boyutları ve uluslararası kamu hukuku ile tutarlılığı – </w:t>
      </w:r>
      <w:r>
        <w:rPr>
          <w:i/>
          <w:sz w:val="20"/>
        </w:rPr>
        <w:t xml:space="preserve">sui generis </w:t>
      </w:r>
      <w:r>
        <w:rPr>
          <w:sz w:val="20"/>
        </w:rPr>
        <w:t xml:space="preserve">anlaşma kapsamı gerekmeksizin”, </w:t>
      </w:r>
      <w:r>
        <w:rPr>
          <w:i/>
          <w:sz w:val="20"/>
        </w:rPr>
        <w:t>Nordic Journal of International Law</w:t>
      </w:r>
      <w:r>
        <w:rPr>
          <w:sz w:val="20"/>
        </w:rPr>
        <w:t>,</w:t>
      </w:r>
      <w:r>
        <w:rPr>
          <w:i/>
          <w:sz w:val="20"/>
        </w:rPr>
        <w:t xml:space="preserve"> </w:t>
      </w:r>
      <w:r>
        <w:rPr>
          <w:sz w:val="20"/>
        </w:rPr>
        <w:t xml:space="preserve">79 (2010), 245 </w:t>
      </w:r>
      <w:r>
        <w:rPr>
          <w:i/>
          <w:sz w:val="20"/>
        </w:rPr>
        <w:t>sonra gelen sayfalar</w:t>
      </w:r>
      <w:r>
        <w:rPr>
          <w:sz w:val="20"/>
        </w:rPr>
        <w:t>;</w:t>
      </w:r>
      <w:r>
        <w:rPr>
          <w:color w:val="000000"/>
          <w:sz w:val="20"/>
        </w:rPr>
        <w:t xml:space="preserve"> Georgios A. Serghides, “The Principle of Effectiveness as Used in Interpreting, Applying and Implementing the European Convention on Human Rights (its Nature, Mechanism and Significance), in Iulia Motoc, Paulo Pinto de Albuquerque and Krzysztof Wojtyczek, </w:t>
      </w:r>
      <w:r>
        <w:rPr>
          <w:i/>
          <w:color w:val="000000"/>
          <w:sz w:val="20"/>
        </w:rPr>
        <w:t xml:space="preserve">New Developments in Constitutional Law – Essays in Honour of András Sajó, </w:t>
      </w:r>
      <w:r>
        <w:rPr>
          <w:color w:val="000000"/>
          <w:sz w:val="20"/>
        </w:rPr>
        <w:t xml:space="preserve">Lahey, 2018, sayfalar. 389 </w:t>
      </w:r>
      <w:r>
        <w:rPr>
          <w:i/>
          <w:color w:val="000000"/>
          <w:sz w:val="20"/>
        </w:rPr>
        <w:t>sonra gelen sayfalar.</w:t>
      </w:r>
    </w:p>
  </w:footnote>
  <w:footnote w:id="4">
    <w:p w:rsidR="008B4471" w:rsidRPr="00763C60" w:rsidRDefault="008B4471" w:rsidP="005A79AD">
      <w:pPr>
        <w:pStyle w:val="DipnotMetni"/>
        <w:rPr>
          <w:rFonts w:eastAsia="Times New Roman" w:cstheme="minorHAnsi"/>
          <w:lang w:val="en-GB" w:eastAsia="el-GR"/>
        </w:rPr>
      </w:pPr>
      <w:r>
        <w:rPr>
          <w:vertAlign w:val="superscript"/>
        </w:rPr>
        <w:footnoteRef/>
      </w:r>
      <w:r>
        <w:rPr>
          <w:vertAlign w:val="superscript"/>
        </w:rPr>
        <w:t>.</w:t>
      </w:r>
      <w:r>
        <w:t>  </w:t>
      </w:r>
      <w:r>
        <w:rPr>
          <w:i/>
        </w:rPr>
        <w:t xml:space="preserve">Golder/Birleşik Krallık, </w:t>
      </w:r>
      <w:r>
        <w:t>No. 4451/70, § 29, 21 Şubat 1975 tarihinde (Nihai), Mahkeme “31- 33. maddelerin esas itibarıyla uluslararası hukukun ana hatlarıyla kabul edilen ilkelerini ifade ettiği” kararına varmıştır.</w:t>
      </w:r>
      <w:r>
        <w:rPr>
          <w:rFonts w:cstheme="minorHAnsi"/>
          <w:color w:val="000000"/>
        </w:rPr>
        <w:t xml:space="preserve"> </w:t>
      </w:r>
      <w:r>
        <w:t xml:space="preserve">Bir noktada bu hükümler teamül hukuku veya uluslararası genel hukuk kuralları statüsüne sahiptir, ayrıca bk. </w:t>
      </w:r>
      <w:r>
        <w:rPr>
          <w:rFonts w:cstheme="minorHAnsi"/>
          <w:i/>
        </w:rPr>
        <w:t xml:space="preserve">Magyar Helsinki Bizottság/Macaristan </w:t>
      </w:r>
      <w:r>
        <w:t xml:space="preserve">[BD], No. 18030/11, § 118, 8 Kasım 2016, ve </w:t>
      </w:r>
      <w:r>
        <w:rPr>
          <w:rFonts w:cstheme="minorHAnsi"/>
          <w:i/>
        </w:rPr>
        <w:t xml:space="preserve">Saadi/Birleşik Krallık </w:t>
      </w:r>
      <w:r>
        <w:t xml:space="preserve">[BD], No. 13229/03, § 61, 29 Ocak 2008. Profesör John Merrills “her ne kadar kararları Avrupa Sözleşmesi’nin belirli özelliklerinden oldukça etkilenmiş olsa da, Mahkemenin yoruma yaklaşımının temelleri Viyana Sözleşmesi’ne dayanmaktadır.” şeklinde görüş belirtmiştir (bk.  John G. Merrills, </w:t>
      </w:r>
      <w:r>
        <w:rPr>
          <w:rFonts w:cstheme="minorHAnsi"/>
          <w:i/>
        </w:rPr>
        <w:t xml:space="preserve">The Development of International Law by the European Court of Human Rights, </w:t>
      </w:r>
      <w:r>
        <w:t xml:space="preserve">Manchester, 1993, sayfa 69). François Ost aynı zamanda, Viyana Anlaşmalar Hukuku Sözleşmesi’nin 31-33. maddelerinin Mahkeme için “daimi bir ilham kaynağı gibi göründüğünü” ileri sürmektedir (bk. </w:t>
      </w:r>
      <w:bookmarkStart w:id="54" w:name="_Hlk520545470"/>
      <w:r>
        <w:t xml:space="preserve">François </w:t>
      </w:r>
      <w:bookmarkEnd w:id="54"/>
      <w:r>
        <w:t xml:space="preserve">Ost, “The Original Canons of Interpretation of the European Court of Human Rights”, in Mireille Delmas-Marty (ed.), </w:t>
      </w:r>
      <w:r>
        <w:rPr>
          <w:rFonts w:cstheme="minorHAnsi"/>
          <w:i/>
        </w:rPr>
        <w:t xml:space="preserve">The European Convention for the Protection of Human Rights: International Protection versus National Restrictions, </w:t>
      </w:r>
      <w:r>
        <w:t>Dordrecht/Boston/London, 1992, 283, sayfa 288).</w:t>
      </w:r>
    </w:p>
  </w:footnote>
  <w:footnote w:id="5">
    <w:p w:rsidR="008B4471" w:rsidRPr="00F020EF" w:rsidRDefault="008B4471" w:rsidP="005A79AD">
      <w:pPr>
        <w:pStyle w:val="DipnotMetni"/>
      </w:pPr>
      <w:r>
        <w:rPr>
          <w:vertAlign w:val="superscript"/>
        </w:rPr>
        <w:footnoteRef/>
      </w:r>
      <w:r>
        <w:rPr>
          <w:vertAlign w:val="superscript"/>
        </w:rPr>
        <w:t>.</w:t>
      </w:r>
      <w:r>
        <w:t xml:space="preserve">  Bk. </w:t>
      </w:r>
      <w:r>
        <w:rPr>
          <w:i/>
        </w:rPr>
        <w:t>Yearbook of the International Law Commission</w:t>
      </w:r>
      <w:r>
        <w:t xml:space="preserve"> 1964, II, sayfa 60, § 26, ve sayfa 61, § 29.</w:t>
      </w:r>
    </w:p>
  </w:footnote>
  <w:footnote w:id="6">
    <w:p w:rsidR="008B4471" w:rsidRPr="002A7F6E" w:rsidRDefault="008B4471" w:rsidP="005A79AD">
      <w:pPr>
        <w:pStyle w:val="DipnotMetni"/>
      </w:pPr>
      <w:r>
        <w:rPr>
          <w:vertAlign w:val="superscript"/>
        </w:rPr>
        <w:footnoteRef/>
      </w:r>
      <w:r>
        <w:rPr>
          <w:vertAlign w:val="superscript"/>
        </w:rPr>
        <w:t>.</w:t>
      </w:r>
      <w:r>
        <w:t xml:space="preserve">  Bk., diğerlerinin yanı sıra, </w:t>
      </w:r>
      <w:r>
        <w:rPr>
          <w:i/>
        </w:rPr>
        <w:t>Golder</w:t>
      </w:r>
      <w:r>
        <w:t xml:space="preserve">, yukarıda anılan, § 35 , ve </w:t>
      </w:r>
      <w:r>
        <w:rPr>
          <w:i/>
        </w:rPr>
        <w:t xml:space="preserve">Al-Adsani / Birleşik Krallık </w:t>
      </w:r>
      <w:r>
        <w:t xml:space="preserve">[BD], No. 35763/97, §§ 55-56, 21 Kasım 2001, Mahkeme bu hükme atıfta bulunmuştur. Ayrıca bk. </w:t>
      </w:r>
      <w:r>
        <w:rPr>
          <w:i/>
        </w:rPr>
        <w:t>Kıbrıs / Türkiye</w:t>
      </w:r>
      <w:r>
        <w:t xml:space="preserve"> (adil tazmin) [BD], No. 25781/94, §§ 40-43, AİHM 2014, Mahkeme, Sözleşme’nin adil tazmini ele alan 41. maddesini yorumlamada tazminata ilişkin uluslararası hukuk kurallarını uygulamıştır.</w:t>
      </w:r>
    </w:p>
  </w:footnote>
  <w:footnote w:id="7">
    <w:p w:rsidR="008B4471" w:rsidRPr="000471D5" w:rsidRDefault="008B4471" w:rsidP="005A79AD">
      <w:pPr>
        <w:pStyle w:val="DipnotMetni"/>
      </w:pPr>
      <w:r>
        <w:rPr>
          <w:vertAlign w:val="superscript"/>
        </w:rPr>
        <w:footnoteRef/>
      </w:r>
      <w:r>
        <w:rPr>
          <w:vertAlign w:val="superscript"/>
        </w:rPr>
        <w:t>.</w:t>
      </w:r>
      <w:r>
        <w:t xml:space="preserve">  Bu iyi niyet ilkesi unsurları için, bk.,  </w:t>
      </w:r>
      <w:r>
        <w:rPr>
          <w:i/>
        </w:rPr>
        <w:t>diğerlerinin yanı sıra</w:t>
      </w:r>
      <w:r>
        <w:t xml:space="preserve">, J. F. O’Connor, </w:t>
      </w:r>
      <w:r>
        <w:rPr>
          <w:i/>
        </w:rPr>
        <w:t>Good Faith in International Law</w:t>
      </w:r>
      <w:r>
        <w:t xml:space="preserve">, Aldershot, 1991, sayfalar 42, 110, 124; ve Mark E. Villiger, </w:t>
      </w:r>
      <w:r>
        <w:rPr>
          <w:i/>
        </w:rPr>
        <w:t xml:space="preserve">Commentary on the 1969 Vienna Convention on the Law of Treaties, </w:t>
      </w:r>
      <w:r>
        <w:t>Leiden-Boston, 2009, sayfalar 425-26.</w:t>
      </w:r>
    </w:p>
  </w:footnote>
  <w:footnote w:id="8">
    <w:p w:rsidR="008B4471" w:rsidRPr="005552D2" w:rsidRDefault="008B4471" w:rsidP="005A79AD">
      <w:pPr>
        <w:rPr>
          <w:rFonts w:eastAsia="Times New Roman" w:cs="Calibri"/>
          <w:sz w:val="20"/>
          <w:szCs w:val="20"/>
          <w:lang w:eastAsia="el-GR"/>
        </w:rPr>
      </w:pPr>
      <w:r>
        <w:rPr>
          <w:vertAlign w:val="superscript"/>
        </w:rPr>
        <w:footnoteRef/>
      </w:r>
      <w:r>
        <w:rPr>
          <w:vertAlign w:val="superscript"/>
        </w:rPr>
        <w:t>.</w:t>
      </w:r>
      <w:r>
        <w:t>  </w:t>
      </w:r>
      <w:r>
        <w:rPr>
          <w:sz w:val="20"/>
        </w:rPr>
        <w:t xml:space="preserve">Bk. Alexander Orakhelashvili, </w:t>
      </w:r>
      <w:r>
        <w:rPr>
          <w:i/>
          <w:sz w:val="20"/>
        </w:rPr>
        <w:t>The Interpretation of Acts and Rules in Public International Law</w:t>
      </w:r>
      <w:r>
        <w:rPr>
          <w:sz w:val="20"/>
        </w:rPr>
        <w:t>, Oxford, 2008, yeni basım 2013, sayfa 398, aynı zamanda iyi niyet ilkesinin “aslında hem anlaşma yükümlülüklerinin yerine getirilmesi hem de anlaşma hükümlerinin yorumlanması ile ilişkili olduğunu” kabul etmektedir (aynı sayfa).</w:t>
      </w:r>
    </w:p>
  </w:footnote>
  <w:footnote w:id="9">
    <w:p w:rsidR="008B4471" w:rsidRPr="007447CD" w:rsidRDefault="008B4471" w:rsidP="005A79AD">
      <w:pPr>
        <w:pStyle w:val="DipnotMetni"/>
      </w:pPr>
      <w:r>
        <w:rPr>
          <w:vertAlign w:val="superscript"/>
        </w:rPr>
        <w:footnoteRef/>
      </w:r>
      <w:r>
        <w:rPr>
          <w:vertAlign w:val="superscript"/>
        </w:rPr>
        <w:t>.</w:t>
      </w:r>
      <w:r>
        <w:t xml:space="preserve">  Bk. </w:t>
      </w:r>
      <w:r>
        <w:rPr>
          <w:i/>
        </w:rPr>
        <w:t>Yearbook of the International Law Commission</w:t>
      </w:r>
      <w:r>
        <w:t xml:space="preserve"> 1964, II, sayfa 201, § 8, ve 1966, II, sayfa 219, § 6. </w:t>
      </w:r>
    </w:p>
  </w:footnote>
  <w:footnote w:id="10">
    <w:p w:rsidR="008B4471" w:rsidRPr="00347CDD" w:rsidRDefault="008B4471" w:rsidP="005A79AD">
      <w:pPr>
        <w:pStyle w:val="DipnotMetni"/>
      </w:pPr>
      <w:r>
        <w:rPr>
          <w:vertAlign w:val="superscript"/>
        </w:rPr>
        <w:footnoteRef/>
      </w:r>
      <w:r>
        <w:rPr>
          <w:vertAlign w:val="superscript"/>
        </w:rPr>
        <w:t>.</w:t>
      </w:r>
      <w:r>
        <w:t xml:space="preserve">  Bk. Richard K. Gardiner, </w:t>
      </w:r>
      <w:r>
        <w:rPr>
          <w:i/>
        </w:rPr>
        <w:t xml:space="preserve">Treaty Interpretation, </w:t>
      </w:r>
      <w:r>
        <w:t>Oxford, 2015, sayfa 179.</w:t>
      </w:r>
    </w:p>
  </w:footnote>
  <w:footnote w:id="11">
    <w:p w:rsidR="008B4471" w:rsidRPr="007447CD" w:rsidRDefault="008B4471" w:rsidP="005A79AD">
      <w:pPr>
        <w:pStyle w:val="DipnotMetni"/>
        <w:rPr>
          <w:rFonts w:cs="Calibri"/>
          <w:i/>
        </w:rPr>
      </w:pPr>
      <w:r>
        <w:rPr>
          <w:vertAlign w:val="superscript"/>
        </w:rPr>
        <w:footnoteRef/>
      </w:r>
      <w:r>
        <w:rPr>
          <w:vertAlign w:val="superscript"/>
        </w:rPr>
        <w:t>.</w:t>
      </w:r>
      <w:r>
        <w:t xml:space="preserve">  Bk. Robert Kolb, “Principles as Sources of International Law (With Special Reference to Good Faith)”, </w:t>
      </w:r>
      <w:r>
        <w:rPr>
          <w:i/>
        </w:rPr>
        <w:t xml:space="preserve">Netherlands International Law Review </w:t>
      </w:r>
      <w:r>
        <w:t>[NILR], 2006, sayı LIII 2006/I, 1 sayfa 15.</w:t>
      </w:r>
    </w:p>
  </w:footnote>
  <w:footnote w:id="12">
    <w:p w:rsidR="008B4471" w:rsidRPr="00504710" w:rsidRDefault="008B4471" w:rsidP="005A79AD">
      <w:pPr>
        <w:pStyle w:val="DipnotMetni"/>
        <w:rPr>
          <w:i/>
        </w:rPr>
      </w:pPr>
      <w:r>
        <w:rPr>
          <w:vertAlign w:val="superscript"/>
        </w:rPr>
        <w:footnoteRef/>
      </w:r>
      <w:r>
        <w:rPr>
          <w:vertAlign w:val="superscript"/>
        </w:rPr>
        <w:t>.</w:t>
      </w:r>
      <w:r>
        <w:t>  Markus Kotzur bihakkın VAHS’nin 18. maddesinin “iyi niyetin sadece bir antlaşmanın ifası ve icrası sırasında değil; aynı zamanda ilk düzenleme safhasında ve onay öncesi dönemde de uygulanması gerektiğini kanıtladığını” iddia etmektedir (bk. Markus Kotzur, “Good Faith (</w:t>
      </w:r>
      <w:r>
        <w:rPr>
          <w:i/>
        </w:rPr>
        <w:t>Bona Fide</w:t>
      </w:r>
      <w:r>
        <w:t xml:space="preserve">)” </w:t>
      </w:r>
      <w:r>
        <w:rPr>
          <w:i/>
        </w:rPr>
        <w:t>Max Planck Encyclopedia of Public International Law</w:t>
      </w:r>
      <w:r>
        <w:t>:</w:t>
      </w:r>
    </w:p>
    <w:p w:rsidR="008B4471" w:rsidRPr="007447CD" w:rsidRDefault="00E73BD5" w:rsidP="005A79AD">
      <w:pPr>
        <w:pStyle w:val="DipnotMetni"/>
      </w:pPr>
      <w:hyperlink r:id="rId1">
        <w:r w:rsidR="008B4471">
          <w:rPr>
            <w:rStyle w:val="Kpr"/>
          </w:rPr>
          <w:t>http://opil.ouplaw.com/view/10.1093/law:epil/9780199231690/law-9780199231690-e1412</w:t>
        </w:r>
      </w:hyperlink>
      <w:r w:rsidR="008B4471">
        <w:t>, at p. 7 (§ 21)).</w:t>
      </w:r>
    </w:p>
  </w:footnote>
  <w:footnote w:id="13">
    <w:p w:rsidR="008B4471" w:rsidRPr="005552D2" w:rsidRDefault="008B4471" w:rsidP="005A79AD">
      <w:pPr>
        <w:autoSpaceDE w:val="0"/>
        <w:autoSpaceDN w:val="0"/>
        <w:adjustRightInd w:val="0"/>
        <w:rPr>
          <w:rFonts w:ascii="Times New Roman" w:hAnsi="Times New Roman" w:cs="Times New Roman"/>
          <w:sz w:val="20"/>
          <w:szCs w:val="20"/>
          <w:lang w:eastAsia="el-GR"/>
        </w:rPr>
      </w:pPr>
      <w:r>
        <w:rPr>
          <w:sz w:val="20"/>
          <w:vertAlign w:val="superscript"/>
        </w:rPr>
        <w:footnoteRef/>
      </w:r>
      <w:r>
        <w:rPr>
          <w:sz w:val="20"/>
          <w:vertAlign w:val="superscript"/>
        </w:rPr>
        <w:t>.</w:t>
      </w:r>
      <w:r>
        <w:t>  </w:t>
      </w:r>
      <w:r>
        <w:rPr>
          <w:rFonts w:ascii="Times New Roman" w:hAnsi="Times New Roman"/>
          <w:sz w:val="20"/>
        </w:rPr>
        <w:t>VAHS’nin 26. maddesi, antlaşmaların uygulanması ile ilgili olarak, yine iyi niyet kavramını kullanmakta, ancak Madde 31 § 1’de kullanıldığından farklı bir bağlamda kullanmaktadır. “Yürürlükteki her antlaşma tarafları için bağlayıcıdır ve iyi niyetle uygulanmalıdır” şeklinde öngören 26. madde, iyi niyeti bir yorum şekli olarak değil, antlaşmanın ifa şekli olarak kullanmaktadır.</w:t>
      </w:r>
    </w:p>
  </w:footnote>
  <w:footnote w:id="14">
    <w:p w:rsidR="008B4471" w:rsidRPr="003148EA" w:rsidRDefault="008B4471" w:rsidP="005A79AD">
      <w:pPr>
        <w:pStyle w:val="DipnotMetni"/>
      </w:pPr>
      <w:r>
        <w:rPr>
          <w:vertAlign w:val="superscript"/>
        </w:rPr>
        <w:footnoteRef/>
      </w:r>
      <w:r>
        <w:rPr>
          <w:vertAlign w:val="superscript"/>
        </w:rPr>
        <w:t>.</w:t>
      </w:r>
      <w:r>
        <w:t>  Ayrıca, kararın 232. paragrafında, Sözleşme’nin, ilke olarak ilgili Devletlerin birbirleriyle etkin şekilde işbirliği yapmalarını zorunlu kılan toplu uygulama antlaşması olarak özel yapısı gereğince vurgulanmaktadır.</w:t>
      </w:r>
    </w:p>
  </w:footnote>
  <w:footnote w:id="15">
    <w:p w:rsidR="008B4471" w:rsidRPr="005552D2" w:rsidRDefault="008B4471" w:rsidP="005A79AD">
      <w:pPr>
        <w:pStyle w:val="DipnotMetni"/>
      </w:pPr>
      <w:r>
        <w:rPr>
          <w:vertAlign w:val="superscript"/>
        </w:rPr>
        <w:footnoteRef/>
      </w:r>
      <w:r>
        <w:rPr>
          <w:vertAlign w:val="superscript"/>
        </w:rPr>
        <w:t>.</w:t>
      </w:r>
      <w:r>
        <w:t>  Bk. 20 Temmuz 1974 tarihli ve 353 (1974) sayılı ve 26 Ağustos 1974 tarihli ve 360 (1974) sayılı BM Güvenlik Konseyi Kararları</w:t>
      </w:r>
      <w:r>
        <w:rPr>
          <w:rFonts w:ascii="Times New Roman" w:hAnsi="Times New Roman"/>
        </w:rPr>
        <w:t>.</w:t>
      </w:r>
    </w:p>
  </w:footnote>
  <w:footnote w:id="16">
    <w:p w:rsidR="008B4471" w:rsidRPr="005552D2" w:rsidRDefault="008B4471" w:rsidP="005A79AD">
      <w:pPr>
        <w:pStyle w:val="DipnotMetni"/>
        <w:rPr>
          <w:rFonts w:ascii="Times New Roman" w:eastAsia="Times New Roman" w:hAnsi="Times New Roman"/>
        </w:rPr>
      </w:pPr>
      <w:r>
        <w:rPr>
          <w:vertAlign w:val="superscript"/>
        </w:rPr>
        <w:footnoteRef/>
      </w:r>
      <w:r>
        <w:rPr>
          <w:vertAlign w:val="superscript"/>
        </w:rPr>
        <w:t>.</w:t>
      </w:r>
      <w:r>
        <w:t xml:space="preserve">  Bk. 9 Kasım 1978 tarihli 33/15 sayılı, 20 Kasım 1979 tarihli ve 34/30 sayılı ve 16 Mayıs 1983 tarihli ve 37/253 sayılı Kararlar. Ayrıca bk. </w:t>
      </w:r>
      <w:r>
        <w:rPr>
          <w:rFonts w:ascii="Times New Roman" w:hAnsi="Times New Roman"/>
          <w:i/>
        </w:rPr>
        <w:t>diğerlerinin yanı sıra</w:t>
      </w:r>
      <w:r>
        <w:t xml:space="preserve"> aşağıdakileri öngören 1 Kasım 1974 tarihli ve 3212 (XXIX) sayılı BM Genel Kurul Kararı</w:t>
      </w:r>
      <w:r>
        <w:rPr>
          <w:rFonts w:ascii="Times New Roman" w:hAnsi="Times New Roman"/>
        </w:rPr>
        <w:t xml:space="preserve">: </w:t>
      </w:r>
    </w:p>
    <w:p w:rsidR="008B4471" w:rsidRPr="005552D2" w:rsidRDefault="008B4471" w:rsidP="005A79AD">
      <w:pPr>
        <w:pStyle w:val="DipnotMetni"/>
        <w:ind w:left="284"/>
        <w:rPr>
          <w:rFonts w:ascii="Times New Roman" w:eastAsia="Times New Roman" w:hAnsi="Times New Roman"/>
        </w:rPr>
      </w:pPr>
      <w:r>
        <w:rPr>
          <w:rFonts w:ascii="Times New Roman" w:hAnsi="Times New Roman"/>
        </w:rPr>
        <w:t>“Genel Kurul;</w:t>
      </w:r>
    </w:p>
    <w:p w:rsidR="008B4471" w:rsidRPr="005552D2" w:rsidRDefault="008B4471" w:rsidP="005A79AD">
      <w:pPr>
        <w:pStyle w:val="DipnotMetni"/>
        <w:ind w:left="284"/>
        <w:rPr>
          <w:rFonts w:ascii="Times New Roman" w:eastAsia="Times New Roman" w:hAnsi="Times New Roman"/>
        </w:rPr>
      </w:pPr>
      <w:r>
        <w:rPr>
          <w:rFonts w:ascii="Times New Roman" w:hAnsi="Times New Roman"/>
        </w:rPr>
        <w:t>1. Tüm Devletlere, Kıbrıs Cumhuriyeti’nin egemenliğine, bağımsızlığına, toprak bütünlüğüne ve bağlantısızlığına saygı duyma ve yöneltilecek tüm hareketlerden ve müdahalelerden kaçınma çağrısında bulunur;</w:t>
      </w:r>
    </w:p>
    <w:p w:rsidR="008B4471" w:rsidRPr="005552D2" w:rsidRDefault="008B4471" w:rsidP="005A79AD">
      <w:pPr>
        <w:pStyle w:val="DipnotMetni"/>
        <w:ind w:left="284"/>
        <w:rPr>
          <w:rFonts w:ascii="Times New Roman" w:eastAsia="Times New Roman" w:hAnsi="Times New Roman"/>
        </w:rPr>
      </w:pPr>
      <w:r>
        <w:rPr>
          <w:rFonts w:ascii="Times New Roman" w:hAnsi="Times New Roman"/>
        </w:rPr>
        <w:t>2. Tüm yabancı silahlı güçlerin ve yabancı askeri oluşumların ve personelin Kıbrıs Cumhuriyeti’nden hızla çekilmesi ve işlerine yapılan tüm yabancı müdahalelerin durdurulması çağrısında bulunur.”</w:t>
      </w:r>
    </w:p>
    <w:p w:rsidR="008B4471" w:rsidRPr="005552D2" w:rsidRDefault="008B4471" w:rsidP="005A79AD">
      <w:pPr>
        <w:pStyle w:val="DipnotMetni"/>
        <w:rPr>
          <w:rFonts w:ascii="Times New Roman" w:eastAsia="Times New Roman" w:hAnsi="Times New Roman"/>
        </w:rPr>
      </w:pPr>
      <w:r>
        <w:rPr>
          <w:rFonts w:ascii="Times New Roman" w:hAnsi="Times New Roman"/>
        </w:rPr>
        <w:t>Bu Karar daha sonra 13 Aralık 1974 tarihli ve 365(1974) sayılı BMGK Kararı ile Güvenlik Konseyinde desteklenmiştir.</w:t>
      </w:r>
    </w:p>
  </w:footnote>
  <w:footnote w:id="17">
    <w:p w:rsidR="008B4471" w:rsidRPr="008C1D8D" w:rsidRDefault="008B4471" w:rsidP="005A79AD">
      <w:pPr>
        <w:pStyle w:val="DipnotMetni"/>
        <w:rPr>
          <w:rFonts w:cs="Calibri"/>
          <w:lang w:val="en-GB"/>
        </w:rPr>
      </w:pPr>
      <w:r>
        <w:rPr>
          <w:vertAlign w:val="superscript"/>
        </w:rPr>
        <w:footnoteRef/>
      </w:r>
      <w:r>
        <w:rPr>
          <w:vertAlign w:val="superscript"/>
        </w:rPr>
        <w:t>.</w:t>
      </w:r>
      <w:r>
        <w:t>  Bk. Hugh Thirlway,</w:t>
      </w:r>
      <w:r>
        <w:rPr>
          <w:i/>
        </w:rPr>
        <w:t xml:space="preserve"> </w:t>
      </w:r>
      <w:r>
        <w:t>“The Law and Procedure of the International Court of Justice 1960</w:t>
      </w:r>
      <w:r>
        <w:rPr>
          <w:rFonts w:cs="Calibri"/>
        </w:rPr>
        <w:sym w:font="Symbol" w:char="F02D"/>
      </w:r>
      <w:r>
        <w:t>1989”</w:t>
      </w:r>
      <w:r>
        <w:rPr>
          <w:i/>
        </w:rPr>
        <w:t xml:space="preserve">, </w:t>
      </w:r>
      <w:r>
        <w:t xml:space="preserve">cilt III, 62, </w:t>
      </w:r>
      <w:r>
        <w:rPr>
          <w:i/>
        </w:rPr>
        <w:t xml:space="preserve">BYBIL </w:t>
      </w:r>
      <w:r>
        <w:t>(1991), 1 sayfalar 17-18</w:t>
      </w:r>
      <w:r>
        <w:rPr>
          <w:i/>
        </w:rPr>
        <w:t>.</w:t>
      </w:r>
      <w:r>
        <w:t xml:space="preserve"> </w:t>
      </w:r>
    </w:p>
  </w:footnote>
  <w:footnote w:id="18">
    <w:p w:rsidR="008B4471" w:rsidRPr="008F527A" w:rsidRDefault="008B4471" w:rsidP="005A79AD">
      <w:pPr>
        <w:pStyle w:val="DipnotMetni"/>
        <w:rPr>
          <w:i/>
          <w:lang w:val="en-GB"/>
        </w:rPr>
      </w:pPr>
      <w:r>
        <w:rPr>
          <w:vertAlign w:val="superscript"/>
        </w:rPr>
        <w:footnoteRef/>
      </w:r>
      <w:r>
        <w:rPr>
          <w:vertAlign w:val="superscript"/>
        </w:rPr>
        <w:t>.</w:t>
      </w:r>
      <w:r>
        <w:t>  aynı sayfa.</w:t>
      </w:r>
    </w:p>
  </w:footnote>
  <w:footnote w:id="19">
    <w:p w:rsidR="008B4471" w:rsidRPr="00E459A4" w:rsidRDefault="008B4471" w:rsidP="005A79AD">
      <w:pPr>
        <w:pStyle w:val="DipnotMetni"/>
        <w:rPr>
          <w:rFonts w:cs="Calibri"/>
        </w:rPr>
      </w:pPr>
      <w:r>
        <w:rPr>
          <w:vertAlign w:val="superscript"/>
        </w:rPr>
        <w:footnoteRef/>
      </w:r>
      <w:r>
        <w:rPr>
          <w:vertAlign w:val="superscript"/>
        </w:rPr>
        <w:t>.</w:t>
      </w:r>
      <w:r>
        <w:t xml:space="preserve">  Sir Gerald Fitzmaurice, </w:t>
      </w:r>
      <w:r>
        <w:rPr>
          <w:i/>
        </w:rPr>
        <w:t xml:space="preserve">The Law and Procedure of the International Court of Justice, </w:t>
      </w:r>
      <w:r>
        <w:t>Cambridge, cilt II, 1986, sayfalar 610-11.</w:t>
      </w:r>
    </w:p>
  </w:footnote>
  <w:footnote w:id="20">
    <w:p w:rsidR="008B4471" w:rsidRPr="005552D2" w:rsidRDefault="008B4471" w:rsidP="005A79AD">
      <w:pPr>
        <w:outlineLvl w:val="2"/>
        <w:rPr>
          <w:rFonts w:eastAsia="Times New Roman" w:cs="Arial"/>
          <w:sz w:val="20"/>
          <w:szCs w:val="20"/>
        </w:rPr>
      </w:pPr>
      <w:r>
        <w:rPr>
          <w:sz w:val="20"/>
          <w:vertAlign w:val="superscript"/>
        </w:rPr>
        <w:footnoteRef/>
      </w:r>
      <w:r>
        <w:rPr>
          <w:sz w:val="20"/>
          <w:vertAlign w:val="superscript"/>
        </w:rPr>
        <w:t>.</w:t>
      </w:r>
      <w:r>
        <w:t>  </w:t>
      </w:r>
      <w:r>
        <w:rPr>
          <w:sz w:val="20"/>
        </w:rPr>
        <w:t>aynı sayfa, sayfa 611. Daha sonra “bu öznel unsur kötü niyet kavramının asıl bileşeni midir?” sorusunu sorar. aynı sayfa. Bu soruya cevap verirken “[m]uhtemelen yalnızca kendi içinde veya kendi başına değerlendirilen kötü niyet durumunda, bu tür bir bileşendir. Fakat bu, hakların kötüye kullanılması için geçerli görünmemektedir ve kötü niyetli olma izlenimini verebilecek eylemlerin çoğunlukla (kasıtlı olarak) hakların kötüye kullanılması yoluyla gerçekleştirilmektedir” (aynı sayfa) şeklinde konuşmaktadır. Meseleyi biraz daha ele aldıktan sonra Sir Geral Fitzmaurice “[h]er ne kadar uluslararası yükümlülüğünü ihlal etme amacı olmasa da, belirli yasaları uygulama hakkını veya bu yasaları yükümlülüğün bilfiil yerine getirilmediği bir şekilde uygulama hakkını kullanan bir Devletin, hakları kötüye kullandığı söylenebilir” şeklinde bir sonuca varmaktadır (aynı sayfa). Bu, yukarıda 12. paragrafta geçen “uluslararası hukuk egemen devletlerin halet-i ruhiyesine çok büyük önem vermemektedir” cümlesiyle aynı doğrultudadır.</w:t>
      </w:r>
    </w:p>
  </w:footnote>
  <w:footnote w:id="21">
    <w:p w:rsidR="008B4471" w:rsidRPr="005552D2" w:rsidRDefault="008B4471" w:rsidP="005A79AD">
      <w:pPr>
        <w:pStyle w:val="DipnotMetni"/>
      </w:pPr>
      <w:r>
        <w:rPr>
          <w:vertAlign w:val="superscript"/>
        </w:rPr>
        <w:footnoteRef/>
      </w:r>
      <w:r>
        <w:rPr>
          <w:vertAlign w:val="superscript"/>
        </w:rPr>
        <w:t>.</w:t>
      </w:r>
      <w:r>
        <w:t xml:space="preserve">  Bk. </w:t>
      </w:r>
      <w:r>
        <w:rPr>
          <w:i/>
        </w:rPr>
        <w:t>Golder</w:t>
      </w:r>
      <w:r>
        <w:t>, yukarıda anılan, § 30.</w:t>
      </w:r>
    </w:p>
  </w:footnote>
  <w:footnote w:id="22">
    <w:p w:rsidR="008B4471" w:rsidRPr="00D837E2" w:rsidRDefault="008B4471" w:rsidP="005A79AD">
      <w:pPr>
        <w:pStyle w:val="DipnotMetni"/>
      </w:pPr>
      <w:r>
        <w:rPr>
          <w:vertAlign w:val="superscript"/>
        </w:rPr>
        <w:footnoteRef/>
      </w:r>
      <w:r>
        <w:rPr>
          <w:vertAlign w:val="superscript"/>
        </w:rPr>
        <w:t>.</w:t>
      </w:r>
      <w:r>
        <w:t>  Bk. yukarıdaki 13. ve 14. not</w:t>
      </w:r>
    </w:p>
  </w:footnote>
  <w:footnote w:id="23">
    <w:p w:rsidR="008B4471" w:rsidRPr="00F97668" w:rsidRDefault="008B4471" w:rsidP="005A79AD">
      <w:pPr>
        <w:pStyle w:val="DipnotMetni"/>
      </w:pPr>
      <w:r>
        <w:rPr>
          <w:vertAlign w:val="superscript"/>
        </w:rPr>
        <w:footnoteRef/>
      </w:r>
      <w:r>
        <w:rPr>
          <w:vertAlign w:val="superscript"/>
        </w:rPr>
        <w:t>.</w:t>
      </w:r>
      <w:r>
        <w:t xml:space="preserve">  Bk. Roslyn Moloney, “Incompatible Reservations to Human Rights Treaties: Severability and the Problem of State Consent”, [2004] </w:t>
      </w:r>
      <w:r>
        <w:rPr>
          <w:i/>
        </w:rPr>
        <w:t xml:space="preserve">Melbourne Uluslararası Hukuk Dergisi, </w:t>
      </w:r>
      <w:r>
        <w:t xml:space="preserve">cilt No.5, 155, s. 156-57. </w:t>
      </w:r>
    </w:p>
  </w:footnote>
  <w:footnote w:id="24">
    <w:p w:rsidR="008B4471" w:rsidRPr="005552D2" w:rsidRDefault="008B4471" w:rsidP="005A79AD">
      <w:pPr>
        <w:pStyle w:val="DipnotMetni"/>
      </w:pPr>
      <w:r>
        <w:rPr>
          <w:vertAlign w:val="superscript"/>
        </w:rPr>
        <w:footnoteRef/>
      </w:r>
      <w:r>
        <w:rPr>
          <w:vertAlign w:val="superscript"/>
        </w:rPr>
        <w:t>.</w:t>
      </w:r>
      <w:r>
        <w:t>  Bk. Mevcut davada Dairenin kararına eklenen kısmi muhalefet şerhimde yer alan  §§ 34, 47 (n), 74 ve 87’de Türkiye’nin bu yayılmacı politikası hakkında yorum.</w:t>
      </w:r>
    </w:p>
  </w:footnote>
  <w:footnote w:id="25">
    <w:p w:rsidR="008B4471" w:rsidRPr="005552D2" w:rsidRDefault="008B4471" w:rsidP="005A79AD">
      <w:pPr>
        <w:pStyle w:val="DipnotMetni"/>
      </w:pPr>
      <w:r>
        <w:rPr>
          <w:vertAlign w:val="superscript"/>
        </w:rPr>
        <w:footnoteRef/>
      </w:r>
      <w:r>
        <w:rPr>
          <w:vertAlign w:val="superscript"/>
        </w:rPr>
        <w:t>.</w:t>
      </w:r>
      <w:r>
        <w:t xml:space="preserve">  Bk. Richard K. Gardiner, </w:t>
      </w:r>
      <w:r>
        <w:rPr>
          <w:i/>
        </w:rPr>
        <w:t xml:space="preserve">Treaty Interpretation, </w:t>
      </w:r>
      <w:r>
        <w:t>2. baskı, Oxford, 2015, sf.176’da benzer sav. “Açıkça görüldüğü üzere, yetki vermenin bu yetkilerin antlaşma kapsamındaki hakları yok saymak için kullanılması olarak yorumlanması iyi niyet ilkesine karşıtlık teşkil edecektir.”</w:t>
      </w:r>
    </w:p>
  </w:footnote>
  <w:footnote w:id="26">
    <w:p w:rsidR="008B4471" w:rsidRPr="00C37751" w:rsidRDefault="008B4471" w:rsidP="005A79AD">
      <w:pPr>
        <w:pStyle w:val="DipnotMetni"/>
        <w:rPr>
          <w:lang w:val="en-GB"/>
        </w:rPr>
      </w:pPr>
      <w:r>
        <w:rPr>
          <w:vertAlign w:val="superscript"/>
        </w:rPr>
        <w:footnoteRef/>
      </w:r>
      <w:r>
        <w:rPr>
          <w:vertAlign w:val="superscript"/>
        </w:rPr>
        <w:t>.</w:t>
      </w:r>
      <w:r>
        <w:t>  Hatta “Bir anlaşmanın yetersiz bir şekilde yorumlanmasına yönelik bir girişim bile, bazı durumlarda anlaşmanın ihlaline eşit olabilmektedir, dolayısıyla Viyana Andlaşmalar Hukuku Sözleşmesi’nin 60. maddesi uyarınca akit taraflar için mevcut kanun yollarını harekete geçirebilmektedir.” (Bk. Alexander Orakhelashvili, a.g.e.</w:t>
      </w:r>
      <w:r>
        <w:rPr>
          <w:i/>
        </w:rPr>
        <w:t xml:space="preserve">, </w:t>
      </w:r>
      <w:r>
        <w:t>s. 393).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71" w:rsidRPr="00A45145" w:rsidRDefault="008B4471" w:rsidP="006777BE">
    <w:pPr>
      <w:jc w:val="center"/>
    </w:pPr>
    <w:r>
      <w:rPr>
        <w:noProof/>
        <w:lang w:bidi="ar-SA"/>
      </w:rPr>
      <w:drawing>
        <wp:inline distT="0" distB="0" distL="0" distR="0">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B4471" w:rsidRDefault="008B4471" w:rsidP="006777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71" w:rsidRPr="006A1F8B" w:rsidRDefault="008B4471" w:rsidP="006A1F8B">
    <w:pPr>
      <w:pStyle w:val="ECHRHeader"/>
    </w:pPr>
    <w:r>
      <w:rPr>
        <w:rStyle w:val="SayfaNumaras"/>
      </w:rPr>
      <w:fldChar w:fldCharType="begin"/>
    </w:r>
    <w:r>
      <w:rPr>
        <w:rStyle w:val="SayfaNumaras"/>
      </w:rPr>
      <w:instrText xml:space="preserve"> PAGE </w:instrText>
    </w:r>
    <w:r>
      <w:rPr>
        <w:rStyle w:val="SayfaNumaras"/>
      </w:rPr>
      <w:fldChar w:fldCharType="separate"/>
    </w:r>
    <w:r w:rsidR="00332D11">
      <w:rPr>
        <w:rStyle w:val="SayfaNumaras"/>
        <w:noProof/>
      </w:rPr>
      <w:t>20</w:t>
    </w:r>
    <w:r>
      <w:rPr>
        <w:rStyle w:val="SayfaNumaras"/>
      </w:rPr>
      <w:fldChar w:fldCharType="end"/>
    </w:r>
    <w:r>
      <w:tab/>
      <w:t>GÜZELYURTLU VE DİĞERLERİ / KIBRIS VE TÜRKİYE - KARAR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71" w:rsidRPr="00DC4033" w:rsidRDefault="008B4471" w:rsidP="00DC4033">
    <w:pPr>
      <w:pStyle w:val="ECHRHeader"/>
    </w:pPr>
    <w:r>
      <w:tab/>
      <w:t>GÜZELYURTLU VE DİĞERLERİ / KIBRIS VE TÜRKİYE - KARAR</w:t>
    </w:r>
    <w:r>
      <w:tab/>
    </w:r>
    <w:r>
      <w:rPr>
        <w:rStyle w:val="SayfaNumaras"/>
      </w:rPr>
      <w:fldChar w:fldCharType="begin"/>
    </w:r>
    <w:r>
      <w:rPr>
        <w:rStyle w:val="SayfaNumaras"/>
      </w:rPr>
      <w:instrText xml:space="preserve"> PAGE </w:instrText>
    </w:r>
    <w:r>
      <w:rPr>
        <w:rStyle w:val="SayfaNumaras"/>
      </w:rPr>
      <w:fldChar w:fldCharType="separate"/>
    </w:r>
    <w:r w:rsidR="00332D11">
      <w:rPr>
        <w:rStyle w:val="SayfaNumaras"/>
        <w:noProof/>
      </w:rPr>
      <w:t>1</w:t>
    </w:r>
    <w:r>
      <w:rPr>
        <w:rStyle w:val="SayfaNumara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71" w:rsidRDefault="008B4471" w:rsidP="00AC2B71">
    <w:pPr>
      <w:pStyle w:val="ECHRHeader"/>
      <w:tabs>
        <w:tab w:val="clear" w:pos="3686"/>
        <w:tab w:val="clear" w:pos="7371"/>
        <w:tab w:val="center" w:pos="3685"/>
      </w:tabs>
    </w:pPr>
    <w:r>
      <w:rPr>
        <w:rStyle w:val="SayfaNumaras"/>
      </w:rPr>
      <w:fldChar w:fldCharType="begin"/>
    </w:r>
    <w:r>
      <w:rPr>
        <w:rStyle w:val="SayfaNumaras"/>
      </w:rPr>
      <w:instrText xml:space="preserve"> PAGE </w:instrText>
    </w:r>
    <w:r>
      <w:rPr>
        <w:rStyle w:val="SayfaNumaras"/>
      </w:rPr>
      <w:fldChar w:fldCharType="separate"/>
    </w:r>
    <w:r w:rsidR="00332D11">
      <w:rPr>
        <w:rStyle w:val="SayfaNumaras"/>
        <w:noProof/>
      </w:rPr>
      <w:t>92</w:t>
    </w:r>
    <w:r>
      <w:rPr>
        <w:rStyle w:val="SayfaNumaras"/>
      </w:rPr>
      <w:fldChar w:fldCharType="end"/>
    </w:r>
    <w:r>
      <w:tab/>
      <w:t xml:space="preserve">GÜZELYURTLU VE DİĞERLERİ / KIBRIS VE TÜRKİYE KARARI-  </w:t>
    </w:r>
    <w:r>
      <w:tab/>
    </w:r>
  </w:p>
  <w:p w:rsidR="008B4471" w:rsidRPr="006A1F8B" w:rsidRDefault="008B4471" w:rsidP="00AC2B71">
    <w:pPr>
      <w:pStyle w:val="ECHRHeader"/>
      <w:tabs>
        <w:tab w:val="clear" w:pos="3686"/>
        <w:tab w:val="clear" w:pos="7371"/>
        <w:tab w:val="center" w:pos="3685"/>
      </w:tabs>
    </w:pPr>
    <w:r>
      <w:tab/>
      <w:t>AYRI GÖRÜŞLER</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71" w:rsidRDefault="008B4471" w:rsidP="00AC2B71">
    <w:pPr>
      <w:pStyle w:val="ECHRHeader"/>
      <w:tabs>
        <w:tab w:val="clear" w:pos="3686"/>
        <w:tab w:val="clear" w:pos="7371"/>
        <w:tab w:val="center" w:pos="3685"/>
        <w:tab w:val="right" w:pos="7370"/>
      </w:tabs>
    </w:pPr>
    <w:r>
      <w:tab/>
      <w:t xml:space="preserve">GÜZELYURTLU VE DİĞERLERİ / KIBRIS VE TÜRKİYE KARARI- </w:t>
    </w:r>
    <w:r>
      <w:tab/>
    </w:r>
    <w:r>
      <w:rPr>
        <w:rStyle w:val="SayfaNumaras"/>
      </w:rPr>
      <w:fldChar w:fldCharType="begin"/>
    </w:r>
    <w:r>
      <w:rPr>
        <w:rStyle w:val="SayfaNumaras"/>
      </w:rPr>
      <w:instrText xml:space="preserve"> PAGE </w:instrText>
    </w:r>
    <w:r>
      <w:rPr>
        <w:rStyle w:val="SayfaNumaras"/>
      </w:rPr>
      <w:fldChar w:fldCharType="separate"/>
    </w:r>
    <w:r w:rsidR="00332D11">
      <w:rPr>
        <w:rStyle w:val="SayfaNumaras"/>
        <w:noProof/>
      </w:rPr>
      <w:t>93</w:t>
    </w:r>
    <w:r>
      <w:rPr>
        <w:rStyle w:val="SayfaNumaras"/>
      </w:rPr>
      <w:fldChar w:fldCharType="end"/>
    </w:r>
  </w:p>
  <w:p w:rsidR="008B4471" w:rsidRPr="00DC4033" w:rsidRDefault="008B4471" w:rsidP="00AC2B71">
    <w:pPr>
      <w:pStyle w:val="ECHRHeader"/>
      <w:tabs>
        <w:tab w:val="clear" w:pos="3686"/>
        <w:tab w:val="clear" w:pos="7371"/>
        <w:tab w:val="center" w:pos="3685"/>
        <w:tab w:val="right" w:pos="7370"/>
      </w:tabs>
    </w:pPr>
    <w:r>
      <w:tab/>
      <w:t>AYRI GÖRÜŞLER</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60303C"/>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574EE562"/>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F8BE1DE4"/>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D49C1F36"/>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80F83F58"/>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D26232"/>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88B370"/>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C6674"/>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56806E"/>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3E8280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60B"/>
    <w:multiLevelType w:val="hybridMultilevel"/>
    <w:tmpl w:val="8AD489F6"/>
    <w:lvl w:ilvl="0" w:tplc="CAFEF3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04695E9C"/>
    <w:multiLevelType w:val="hybridMultilevel"/>
    <w:tmpl w:val="3036E78A"/>
    <w:lvl w:ilvl="0" w:tplc="1AEE9826">
      <w:start w:val="1"/>
      <w:numFmt w:val="decimal"/>
      <w:lvlText w:val="%1."/>
      <w:lvlJc w:val="left"/>
      <w:pPr>
        <w:ind w:left="644" w:hanging="360"/>
      </w:pPr>
      <w:rPr>
        <w:sz w:val="24"/>
        <w:szCs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0BAB4979"/>
    <w:multiLevelType w:val="hybridMultilevel"/>
    <w:tmpl w:val="FA821AB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15:restartNumberingAfterBreak="0">
    <w:nsid w:val="0D275011"/>
    <w:multiLevelType w:val="hybridMultilevel"/>
    <w:tmpl w:val="E56C247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15:restartNumberingAfterBreak="0">
    <w:nsid w:val="1A027E7D"/>
    <w:multiLevelType w:val="hybridMultilevel"/>
    <w:tmpl w:val="A6C4258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466D8E"/>
    <w:multiLevelType w:val="multilevel"/>
    <w:tmpl w:val="040C0023"/>
    <w:styleLink w:val="MakaleBlm"/>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50D3BA1"/>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2316A4C"/>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351956"/>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15:restartNumberingAfterBreak="0">
    <w:nsid w:val="611827D2"/>
    <w:multiLevelType w:val="hybridMultilevel"/>
    <w:tmpl w:val="7B5A8E0E"/>
    <w:lvl w:ilvl="0" w:tplc="3412E722">
      <w:start w:val="1"/>
      <w:numFmt w:val="decimal"/>
      <w:lvlText w:val="%1."/>
      <w:lvlJc w:val="left"/>
      <w:pPr>
        <w:ind w:left="720" w:hanging="360"/>
      </w:pPr>
      <w:rPr>
        <w:rFonts w:ascii="Calibri" w:hAnsi="Calibri" w:cs="Times New Roman" w:hint="default"/>
        <w:b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1FF2E2F"/>
    <w:multiLevelType w:val="hybridMultilevel"/>
    <w:tmpl w:val="D95E713A"/>
    <w:lvl w:ilvl="0" w:tplc="1AEE9826">
      <w:start w:val="1"/>
      <w:numFmt w:val="decimal"/>
      <w:lvlText w:val="%1."/>
      <w:lvlJc w:val="left"/>
      <w:pPr>
        <w:ind w:left="928" w:hanging="360"/>
      </w:pPr>
      <w:rPr>
        <w:sz w:val="24"/>
        <w:szCs w:val="24"/>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2" w15:restartNumberingAfterBreak="0">
    <w:nsid w:val="67E457A0"/>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FD1241"/>
    <w:multiLevelType w:val="hybridMultilevel"/>
    <w:tmpl w:val="F6D86CC2"/>
    <w:lvl w:ilvl="0" w:tplc="E4205412">
      <w:start w:val="1"/>
      <w:numFmt w:val="bullet"/>
      <w:pStyle w:val="ListeMaddemi"/>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FFE192C"/>
    <w:multiLevelType w:val="hybridMultilevel"/>
    <w:tmpl w:val="E29AAD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7"/>
  </w:num>
  <w:num w:numId="6">
    <w:abstractNumId w:val="19"/>
  </w:num>
  <w:num w:numId="7">
    <w:abstractNumId w:val="17"/>
  </w:num>
  <w:num w:numId="8">
    <w:abstractNumId w:val="23"/>
  </w:num>
  <w:num w:numId="9">
    <w:abstractNumId w:val="22"/>
  </w:num>
  <w:num w:numId="10">
    <w:abstractNumId w:val="18"/>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24"/>
  </w:num>
  <w:num w:numId="24">
    <w:abstractNumId w:val="24"/>
  </w:num>
  <w:num w:numId="25">
    <w:abstractNumId w:val="24"/>
  </w:num>
  <w:num w:numId="26">
    <w:abstractNumId w:val="9"/>
  </w:num>
  <w:num w:numId="27">
    <w:abstractNumId w:val="25"/>
  </w:num>
  <w:num w:numId="28">
    <w:abstractNumId w:val="10"/>
  </w:num>
  <w:num w:numId="29">
    <w:abstractNumId w:val="20"/>
  </w:num>
  <w:num w:numId="30">
    <w:abstractNumId w:val="26"/>
  </w:num>
  <w:num w:numId="31">
    <w:abstractNumId w:val="11"/>
  </w:num>
  <w:num w:numId="32">
    <w:abstractNumId w:val="13"/>
  </w:num>
  <w:num w:numId="33">
    <w:abstractNumId w:val="14"/>
  </w:num>
  <w:num w:numId="34">
    <w:abstractNumId w:val="12"/>
  </w:num>
  <w:num w:numId="35">
    <w:abstractNumId w:val="21"/>
  </w:num>
  <w:num w:numId="36">
    <w:abstractNumId w:val="24"/>
  </w:num>
  <w:num w:numId="37">
    <w:abstractNumId w:val="24"/>
  </w:num>
  <w:num w:numId="38">
    <w:abstractNumId w:val="24"/>
  </w:num>
  <w:num w:numId="39">
    <w:abstractNumId w:val="24"/>
  </w:num>
  <w:num w:numId="40">
    <w:abstractNumId w:val="24"/>
  </w:num>
  <w:num w:numId="4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MM" w:val="0"/>
    <w:docVar w:name="NBEMMDOC" w:val="0"/>
  </w:docVars>
  <w:rsids>
    <w:rsidRoot w:val="00F25813"/>
    <w:rsid w:val="000041F8"/>
    <w:rsid w:val="000042A8"/>
    <w:rsid w:val="00004308"/>
    <w:rsid w:val="00005BF0"/>
    <w:rsid w:val="00007154"/>
    <w:rsid w:val="00007A11"/>
    <w:rsid w:val="000103AE"/>
    <w:rsid w:val="00011D69"/>
    <w:rsid w:val="00012AD3"/>
    <w:rsid w:val="00015316"/>
    <w:rsid w:val="00015ABF"/>
    <w:rsid w:val="00015C2D"/>
    <w:rsid w:val="00015F00"/>
    <w:rsid w:val="000222C7"/>
    <w:rsid w:val="00022C1D"/>
    <w:rsid w:val="00022E3B"/>
    <w:rsid w:val="0002601B"/>
    <w:rsid w:val="00026F92"/>
    <w:rsid w:val="00032794"/>
    <w:rsid w:val="0003300B"/>
    <w:rsid w:val="00034987"/>
    <w:rsid w:val="00034FE0"/>
    <w:rsid w:val="0004359C"/>
    <w:rsid w:val="000477C3"/>
    <w:rsid w:val="00050C84"/>
    <w:rsid w:val="000526CC"/>
    <w:rsid w:val="000566D1"/>
    <w:rsid w:val="000602DF"/>
    <w:rsid w:val="00061B05"/>
    <w:rsid w:val="000632D5"/>
    <w:rsid w:val="000644EE"/>
    <w:rsid w:val="00064E40"/>
    <w:rsid w:val="00065F6F"/>
    <w:rsid w:val="000712B7"/>
    <w:rsid w:val="00084D30"/>
    <w:rsid w:val="000909F3"/>
    <w:rsid w:val="000925AD"/>
    <w:rsid w:val="00095626"/>
    <w:rsid w:val="000A24EB"/>
    <w:rsid w:val="000A31B4"/>
    <w:rsid w:val="000A453F"/>
    <w:rsid w:val="000A6974"/>
    <w:rsid w:val="000B6923"/>
    <w:rsid w:val="000C0ED3"/>
    <w:rsid w:val="000C5F3C"/>
    <w:rsid w:val="000C6DCC"/>
    <w:rsid w:val="000D09DC"/>
    <w:rsid w:val="000D47AA"/>
    <w:rsid w:val="000D4CC4"/>
    <w:rsid w:val="000D721F"/>
    <w:rsid w:val="000E069B"/>
    <w:rsid w:val="000E0E82"/>
    <w:rsid w:val="000E1DC5"/>
    <w:rsid w:val="000E223F"/>
    <w:rsid w:val="000E2EA9"/>
    <w:rsid w:val="000E4CCE"/>
    <w:rsid w:val="000E7D45"/>
    <w:rsid w:val="000F1963"/>
    <w:rsid w:val="000F7851"/>
    <w:rsid w:val="00104E23"/>
    <w:rsid w:val="001054DF"/>
    <w:rsid w:val="00111B0C"/>
    <w:rsid w:val="00116CD2"/>
    <w:rsid w:val="00120D6C"/>
    <w:rsid w:val="00121ED6"/>
    <w:rsid w:val="001227FD"/>
    <w:rsid w:val="00123F72"/>
    <w:rsid w:val="001257EC"/>
    <w:rsid w:val="001268D3"/>
    <w:rsid w:val="00126E02"/>
    <w:rsid w:val="00127141"/>
    <w:rsid w:val="00131A20"/>
    <w:rsid w:val="00133D33"/>
    <w:rsid w:val="001343AE"/>
    <w:rsid w:val="00134D64"/>
    <w:rsid w:val="00135A30"/>
    <w:rsid w:val="0013612C"/>
    <w:rsid w:val="00137FF6"/>
    <w:rsid w:val="00141650"/>
    <w:rsid w:val="00145259"/>
    <w:rsid w:val="00150DA0"/>
    <w:rsid w:val="001520C8"/>
    <w:rsid w:val="001606A2"/>
    <w:rsid w:val="00161312"/>
    <w:rsid w:val="00162A12"/>
    <w:rsid w:val="00166154"/>
    <w:rsid w:val="00166530"/>
    <w:rsid w:val="00173B50"/>
    <w:rsid w:val="00182BFF"/>
    <w:rsid w:val="00183286"/>
    <w:rsid w:val="001832BD"/>
    <w:rsid w:val="0018645F"/>
    <w:rsid w:val="00192C2F"/>
    <w:rsid w:val="001943B5"/>
    <w:rsid w:val="00195134"/>
    <w:rsid w:val="001A145B"/>
    <w:rsid w:val="001A439C"/>
    <w:rsid w:val="001A674C"/>
    <w:rsid w:val="001A6D97"/>
    <w:rsid w:val="001B3B24"/>
    <w:rsid w:val="001B7819"/>
    <w:rsid w:val="001B7FAC"/>
    <w:rsid w:val="001C0E99"/>
    <w:rsid w:val="001C0F98"/>
    <w:rsid w:val="001C24C4"/>
    <w:rsid w:val="001C2A42"/>
    <w:rsid w:val="001C4824"/>
    <w:rsid w:val="001D0506"/>
    <w:rsid w:val="001D63ED"/>
    <w:rsid w:val="001D7348"/>
    <w:rsid w:val="001E035B"/>
    <w:rsid w:val="001E0961"/>
    <w:rsid w:val="001E3EAE"/>
    <w:rsid w:val="001E4E7C"/>
    <w:rsid w:val="001E5825"/>
    <w:rsid w:val="001E6F32"/>
    <w:rsid w:val="001F1497"/>
    <w:rsid w:val="001F1CD9"/>
    <w:rsid w:val="001F2145"/>
    <w:rsid w:val="001F6262"/>
    <w:rsid w:val="001F67B0"/>
    <w:rsid w:val="001F7B3D"/>
    <w:rsid w:val="00205F9F"/>
    <w:rsid w:val="00210338"/>
    <w:rsid w:val="002115FC"/>
    <w:rsid w:val="0021423C"/>
    <w:rsid w:val="0021765B"/>
    <w:rsid w:val="00226B88"/>
    <w:rsid w:val="00230D00"/>
    <w:rsid w:val="00231DF7"/>
    <w:rsid w:val="00231FD1"/>
    <w:rsid w:val="002321BC"/>
    <w:rsid w:val="002339E0"/>
    <w:rsid w:val="00233CF8"/>
    <w:rsid w:val="0023575D"/>
    <w:rsid w:val="00237148"/>
    <w:rsid w:val="00237AA6"/>
    <w:rsid w:val="002409D2"/>
    <w:rsid w:val="0024222D"/>
    <w:rsid w:val="00244B0E"/>
    <w:rsid w:val="00244F6C"/>
    <w:rsid w:val="00245D6A"/>
    <w:rsid w:val="002532C5"/>
    <w:rsid w:val="00260C03"/>
    <w:rsid w:val="00262A68"/>
    <w:rsid w:val="0026540E"/>
    <w:rsid w:val="00275123"/>
    <w:rsid w:val="00275888"/>
    <w:rsid w:val="0027797B"/>
    <w:rsid w:val="00282240"/>
    <w:rsid w:val="00293118"/>
    <w:rsid w:val="00293A55"/>
    <w:rsid w:val="002948AD"/>
    <w:rsid w:val="0029569C"/>
    <w:rsid w:val="0029793B"/>
    <w:rsid w:val="002A01CC"/>
    <w:rsid w:val="002A61B1"/>
    <w:rsid w:val="002A663C"/>
    <w:rsid w:val="002A7F7B"/>
    <w:rsid w:val="002B2A06"/>
    <w:rsid w:val="002B2D14"/>
    <w:rsid w:val="002B444B"/>
    <w:rsid w:val="002B5887"/>
    <w:rsid w:val="002B7676"/>
    <w:rsid w:val="002C0E27"/>
    <w:rsid w:val="002C3040"/>
    <w:rsid w:val="002C7949"/>
    <w:rsid w:val="002D022D"/>
    <w:rsid w:val="002D02A0"/>
    <w:rsid w:val="002D24BB"/>
    <w:rsid w:val="002D3E40"/>
    <w:rsid w:val="002F2AF7"/>
    <w:rsid w:val="002F67F1"/>
    <w:rsid w:val="002F7E1C"/>
    <w:rsid w:val="003006BF"/>
    <w:rsid w:val="00301A75"/>
    <w:rsid w:val="00301D04"/>
    <w:rsid w:val="00302F70"/>
    <w:rsid w:val="0030336F"/>
    <w:rsid w:val="0030375E"/>
    <w:rsid w:val="00307225"/>
    <w:rsid w:val="00310B88"/>
    <w:rsid w:val="00312A30"/>
    <w:rsid w:val="00314429"/>
    <w:rsid w:val="00320679"/>
    <w:rsid w:val="00320F72"/>
    <w:rsid w:val="00321041"/>
    <w:rsid w:val="00321A66"/>
    <w:rsid w:val="0032463E"/>
    <w:rsid w:val="0032517B"/>
    <w:rsid w:val="00326224"/>
    <w:rsid w:val="003311CF"/>
    <w:rsid w:val="00332D11"/>
    <w:rsid w:val="00335010"/>
    <w:rsid w:val="00336879"/>
    <w:rsid w:val="00337EE4"/>
    <w:rsid w:val="00340FFD"/>
    <w:rsid w:val="003410A3"/>
    <w:rsid w:val="0034383F"/>
    <w:rsid w:val="00345425"/>
    <w:rsid w:val="003506B1"/>
    <w:rsid w:val="00351C2A"/>
    <w:rsid w:val="003557C4"/>
    <w:rsid w:val="00356532"/>
    <w:rsid w:val="00356AC7"/>
    <w:rsid w:val="003609FA"/>
    <w:rsid w:val="00363FFB"/>
    <w:rsid w:val="003710C8"/>
    <w:rsid w:val="00371D96"/>
    <w:rsid w:val="003750BE"/>
    <w:rsid w:val="00376824"/>
    <w:rsid w:val="00380D3F"/>
    <w:rsid w:val="0038408F"/>
    <w:rsid w:val="00387B9D"/>
    <w:rsid w:val="00390761"/>
    <w:rsid w:val="0039364F"/>
    <w:rsid w:val="00396686"/>
    <w:rsid w:val="0039778E"/>
    <w:rsid w:val="003B2DBC"/>
    <w:rsid w:val="003B4941"/>
    <w:rsid w:val="003C31C7"/>
    <w:rsid w:val="003C3F8E"/>
    <w:rsid w:val="003C4A8A"/>
    <w:rsid w:val="003C5714"/>
    <w:rsid w:val="003C6B9F"/>
    <w:rsid w:val="003C6E2A"/>
    <w:rsid w:val="003D0244"/>
    <w:rsid w:val="003D0299"/>
    <w:rsid w:val="003D315E"/>
    <w:rsid w:val="003D5F20"/>
    <w:rsid w:val="003D6E04"/>
    <w:rsid w:val="003E1E5F"/>
    <w:rsid w:val="003E3441"/>
    <w:rsid w:val="003E38F3"/>
    <w:rsid w:val="003E39C6"/>
    <w:rsid w:val="003E5D14"/>
    <w:rsid w:val="003E6D80"/>
    <w:rsid w:val="003F0368"/>
    <w:rsid w:val="003F05FA"/>
    <w:rsid w:val="003F244A"/>
    <w:rsid w:val="003F2DA8"/>
    <w:rsid w:val="003F30B8"/>
    <w:rsid w:val="003F4C45"/>
    <w:rsid w:val="003F5F7B"/>
    <w:rsid w:val="003F711C"/>
    <w:rsid w:val="003F7D64"/>
    <w:rsid w:val="004034A1"/>
    <w:rsid w:val="004055A4"/>
    <w:rsid w:val="004061C7"/>
    <w:rsid w:val="00414300"/>
    <w:rsid w:val="00415B26"/>
    <w:rsid w:val="00425C67"/>
    <w:rsid w:val="00427E7A"/>
    <w:rsid w:val="00431389"/>
    <w:rsid w:val="00436C49"/>
    <w:rsid w:val="0043785A"/>
    <w:rsid w:val="00441BF0"/>
    <w:rsid w:val="00445366"/>
    <w:rsid w:val="00447F5B"/>
    <w:rsid w:val="0045649E"/>
    <w:rsid w:val="004619DE"/>
    <w:rsid w:val="00461DB0"/>
    <w:rsid w:val="00463926"/>
    <w:rsid w:val="00464C9A"/>
    <w:rsid w:val="00474F3D"/>
    <w:rsid w:val="00475678"/>
    <w:rsid w:val="00477378"/>
    <w:rsid w:val="00477773"/>
    <w:rsid w:val="00477E3A"/>
    <w:rsid w:val="00482AB0"/>
    <w:rsid w:val="00483E5F"/>
    <w:rsid w:val="0048596F"/>
    <w:rsid w:val="00485FF9"/>
    <w:rsid w:val="004907F0"/>
    <w:rsid w:val="0049140B"/>
    <w:rsid w:val="004923A5"/>
    <w:rsid w:val="00492532"/>
    <w:rsid w:val="00496BFB"/>
    <w:rsid w:val="004977F4"/>
    <w:rsid w:val="004A06FD"/>
    <w:rsid w:val="004A15C7"/>
    <w:rsid w:val="004A28A3"/>
    <w:rsid w:val="004A3365"/>
    <w:rsid w:val="004A523E"/>
    <w:rsid w:val="004A7FDF"/>
    <w:rsid w:val="004B013B"/>
    <w:rsid w:val="004B09AF"/>
    <w:rsid w:val="004B112B"/>
    <w:rsid w:val="004B2EC6"/>
    <w:rsid w:val="004B3BA8"/>
    <w:rsid w:val="004B60AB"/>
    <w:rsid w:val="004C01E4"/>
    <w:rsid w:val="004C086C"/>
    <w:rsid w:val="004C1F56"/>
    <w:rsid w:val="004C27BC"/>
    <w:rsid w:val="004C2AD9"/>
    <w:rsid w:val="004D15F3"/>
    <w:rsid w:val="004D1F7F"/>
    <w:rsid w:val="004D5311"/>
    <w:rsid w:val="004D5DCC"/>
    <w:rsid w:val="004E17C4"/>
    <w:rsid w:val="004E5BE7"/>
    <w:rsid w:val="004F10AF"/>
    <w:rsid w:val="004F11A4"/>
    <w:rsid w:val="004F2389"/>
    <w:rsid w:val="004F304D"/>
    <w:rsid w:val="004F61BE"/>
    <w:rsid w:val="004F66B1"/>
    <w:rsid w:val="004F6DA4"/>
    <w:rsid w:val="0050289F"/>
    <w:rsid w:val="005108B4"/>
    <w:rsid w:val="00511C07"/>
    <w:rsid w:val="005173A6"/>
    <w:rsid w:val="00520BAA"/>
    <w:rsid w:val="00523295"/>
    <w:rsid w:val="00525208"/>
    <w:rsid w:val="005257A5"/>
    <w:rsid w:val="00526394"/>
    <w:rsid w:val="005264C0"/>
    <w:rsid w:val="00526A8A"/>
    <w:rsid w:val="00526AB6"/>
    <w:rsid w:val="00531DF2"/>
    <w:rsid w:val="00533C33"/>
    <w:rsid w:val="0053494A"/>
    <w:rsid w:val="0054148C"/>
    <w:rsid w:val="00543291"/>
    <w:rsid w:val="005442EE"/>
    <w:rsid w:val="0054587E"/>
    <w:rsid w:val="00547353"/>
    <w:rsid w:val="005474E7"/>
    <w:rsid w:val="00550988"/>
    <w:rsid w:val="005512A3"/>
    <w:rsid w:val="005529C2"/>
    <w:rsid w:val="005552D2"/>
    <w:rsid w:val="005578CE"/>
    <w:rsid w:val="00557EB1"/>
    <w:rsid w:val="0056257B"/>
    <w:rsid w:val="00562781"/>
    <w:rsid w:val="00566BDB"/>
    <w:rsid w:val="005709B6"/>
    <w:rsid w:val="0057271C"/>
    <w:rsid w:val="00572845"/>
    <w:rsid w:val="005822AA"/>
    <w:rsid w:val="00592772"/>
    <w:rsid w:val="0059574A"/>
    <w:rsid w:val="005A1B9B"/>
    <w:rsid w:val="005A6751"/>
    <w:rsid w:val="005A79AD"/>
    <w:rsid w:val="005B092E"/>
    <w:rsid w:val="005B152C"/>
    <w:rsid w:val="005B1EE0"/>
    <w:rsid w:val="005B2B24"/>
    <w:rsid w:val="005B4425"/>
    <w:rsid w:val="005B4B94"/>
    <w:rsid w:val="005B61EA"/>
    <w:rsid w:val="005B790A"/>
    <w:rsid w:val="005C1157"/>
    <w:rsid w:val="005C1B78"/>
    <w:rsid w:val="005C36CE"/>
    <w:rsid w:val="005C3EE8"/>
    <w:rsid w:val="005C4A54"/>
    <w:rsid w:val="005C5FD3"/>
    <w:rsid w:val="005C7187"/>
    <w:rsid w:val="005D34F9"/>
    <w:rsid w:val="005D4190"/>
    <w:rsid w:val="005D64B5"/>
    <w:rsid w:val="005D67A3"/>
    <w:rsid w:val="005E2988"/>
    <w:rsid w:val="005E3085"/>
    <w:rsid w:val="005E62C0"/>
    <w:rsid w:val="005F51E1"/>
    <w:rsid w:val="005F5A77"/>
    <w:rsid w:val="0060205C"/>
    <w:rsid w:val="006025B5"/>
    <w:rsid w:val="00606350"/>
    <w:rsid w:val="00611C80"/>
    <w:rsid w:val="0061264A"/>
    <w:rsid w:val="00613157"/>
    <w:rsid w:val="00620692"/>
    <w:rsid w:val="006242CA"/>
    <w:rsid w:val="00627507"/>
    <w:rsid w:val="00630FC1"/>
    <w:rsid w:val="00633717"/>
    <w:rsid w:val="006344E1"/>
    <w:rsid w:val="0063744E"/>
    <w:rsid w:val="0065039F"/>
    <w:rsid w:val="006515E8"/>
    <w:rsid w:val="00652A73"/>
    <w:rsid w:val="006545C4"/>
    <w:rsid w:val="00655A98"/>
    <w:rsid w:val="00661879"/>
    <w:rsid w:val="00661971"/>
    <w:rsid w:val="00661CE8"/>
    <w:rsid w:val="006623D9"/>
    <w:rsid w:val="0066550C"/>
    <w:rsid w:val="006664FA"/>
    <w:rsid w:val="006716F2"/>
    <w:rsid w:val="0067408B"/>
    <w:rsid w:val="006777BE"/>
    <w:rsid w:val="006811C3"/>
    <w:rsid w:val="00682BF2"/>
    <w:rsid w:val="006859CE"/>
    <w:rsid w:val="00691270"/>
    <w:rsid w:val="00694BA8"/>
    <w:rsid w:val="006A037C"/>
    <w:rsid w:val="006A1E35"/>
    <w:rsid w:val="006A1F8B"/>
    <w:rsid w:val="006A36F4"/>
    <w:rsid w:val="006A406F"/>
    <w:rsid w:val="006A4D56"/>
    <w:rsid w:val="006A5D3A"/>
    <w:rsid w:val="006B0F25"/>
    <w:rsid w:val="006B76F0"/>
    <w:rsid w:val="006C23D4"/>
    <w:rsid w:val="006C305B"/>
    <w:rsid w:val="006C7BB0"/>
    <w:rsid w:val="006D3237"/>
    <w:rsid w:val="006D4EA0"/>
    <w:rsid w:val="006D6F4C"/>
    <w:rsid w:val="006E2E37"/>
    <w:rsid w:val="006E36AC"/>
    <w:rsid w:val="006E3CF1"/>
    <w:rsid w:val="006E7E80"/>
    <w:rsid w:val="006F48CA"/>
    <w:rsid w:val="006F5066"/>
    <w:rsid w:val="006F569A"/>
    <w:rsid w:val="006F64DD"/>
    <w:rsid w:val="0070367E"/>
    <w:rsid w:val="007058D5"/>
    <w:rsid w:val="00711D42"/>
    <w:rsid w:val="00712BDA"/>
    <w:rsid w:val="00715127"/>
    <w:rsid w:val="00715E8E"/>
    <w:rsid w:val="00717071"/>
    <w:rsid w:val="00723580"/>
    <w:rsid w:val="00723755"/>
    <w:rsid w:val="0073136C"/>
    <w:rsid w:val="00731F0F"/>
    <w:rsid w:val="00733250"/>
    <w:rsid w:val="007369E8"/>
    <w:rsid w:val="00737EB4"/>
    <w:rsid w:val="00741404"/>
    <w:rsid w:val="007449E5"/>
    <w:rsid w:val="00747FF0"/>
    <w:rsid w:val="00752FB1"/>
    <w:rsid w:val="0075570A"/>
    <w:rsid w:val="00761BB1"/>
    <w:rsid w:val="00764C34"/>
    <w:rsid w:val="00764D4E"/>
    <w:rsid w:val="00765047"/>
    <w:rsid w:val="00765386"/>
    <w:rsid w:val="00765A1F"/>
    <w:rsid w:val="007662AF"/>
    <w:rsid w:val="00767AD3"/>
    <w:rsid w:val="0077491B"/>
    <w:rsid w:val="00775B6D"/>
    <w:rsid w:val="00776D68"/>
    <w:rsid w:val="00781F37"/>
    <w:rsid w:val="007832BC"/>
    <w:rsid w:val="007850EE"/>
    <w:rsid w:val="00785B95"/>
    <w:rsid w:val="00790BC0"/>
    <w:rsid w:val="00790E96"/>
    <w:rsid w:val="00793366"/>
    <w:rsid w:val="00796B1B"/>
    <w:rsid w:val="007A716F"/>
    <w:rsid w:val="007B270A"/>
    <w:rsid w:val="007C0695"/>
    <w:rsid w:val="007C4171"/>
    <w:rsid w:val="007C419A"/>
    <w:rsid w:val="007C4CC8"/>
    <w:rsid w:val="007C5426"/>
    <w:rsid w:val="007C5798"/>
    <w:rsid w:val="007C6A77"/>
    <w:rsid w:val="007D2715"/>
    <w:rsid w:val="007D3583"/>
    <w:rsid w:val="007D4832"/>
    <w:rsid w:val="007E103F"/>
    <w:rsid w:val="007E1828"/>
    <w:rsid w:val="007E21B2"/>
    <w:rsid w:val="007E2C4E"/>
    <w:rsid w:val="007E5E1D"/>
    <w:rsid w:val="007F1905"/>
    <w:rsid w:val="007F3C38"/>
    <w:rsid w:val="00802C64"/>
    <w:rsid w:val="00803FD6"/>
    <w:rsid w:val="00805E52"/>
    <w:rsid w:val="008061D0"/>
    <w:rsid w:val="00810B38"/>
    <w:rsid w:val="00811735"/>
    <w:rsid w:val="00820432"/>
    <w:rsid w:val="008204C7"/>
    <w:rsid w:val="00820992"/>
    <w:rsid w:val="00823602"/>
    <w:rsid w:val="008236DF"/>
    <w:rsid w:val="008255F5"/>
    <w:rsid w:val="00827803"/>
    <w:rsid w:val="0083014E"/>
    <w:rsid w:val="00830D7A"/>
    <w:rsid w:val="0083214A"/>
    <w:rsid w:val="00834220"/>
    <w:rsid w:val="008418C3"/>
    <w:rsid w:val="00844CAA"/>
    <w:rsid w:val="00844E57"/>
    <w:rsid w:val="00845723"/>
    <w:rsid w:val="00845B3A"/>
    <w:rsid w:val="00851EF9"/>
    <w:rsid w:val="0085695E"/>
    <w:rsid w:val="008577FD"/>
    <w:rsid w:val="00860B03"/>
    <w:rsid w:val="0086497A"/>
    <w:rsid w:val="008713A1"/>
    <w:rsid w:val="008754AB"/>
    <w:rsid w:val="008770A2"/>
    <w:rsid w:val="0088060C"/>
    <w:rsid w:val="00881404"/>
    <w:rsid w:val="00893576"/>
    <w:rsid w:val="00893E73"/>
    <w:rsid w:val="008945EE"/>
    <w:rsid w:val="00895A7C"/>
    <w:rsid w:val="008A0900"/>
    <w:rsid w:val="008A0AEC"/>
    <w:rsid w:val="008A4EE0"/>
    <w:rsid w:val="008A6DCA"/>
    <w:rsid w:val="008B02DC"/>
    <w:rsid w:val="008B2457"/>
    <w:rsid w:val="008B4471"/>
    <w:rsid w:val="008B57CE"/>
    <w:rsid w:val="008C26DE"/>
    <w:rsid w:val="008D2225"/>
    <w:rsid w:val="008D4752"/>
    <w:rsid w:val="008D673C"/>
    <w:rsid w:val="008E271C"/>
    <w:rsid w:val="008E418E"/>
    <w:rsid w:val="008E4B37"/>
    <w:rsid w:val="008E5BC6"/>
    <w:rsid w:val="008E6A25"/>
    <w:rsid w:val="008F5193"/>
    <w:rsid w:val="008F5BE6"/>
    <w:rsid w:val="008F64B5"/>
    <w:rsid w:val="008F6FAB"/>
    <w:rsid w:val="008F7A25"/>
    <w:rsid w:val="009013A7"/>
    <w:rsid w:val="009017FB"/>
    <w:rsid w:val="009017FC"/>
    <w:rsid w:val="0090337F"/>
    <w:rsid w:val="0090506B"/>
    <w:rsid w:val="009050C9"/>
    <w:rsid w:val="009066FC"/>
    <w:rsid w:val="00913075"/>
    <w:rsid w:val="009140A3"/>
    <w:rsid w:val="009144A2"/>
    <w:rsid w:val="0091510C"/>
    <w:rsid w:val="00917527"/>
    <w:rsid w:val="00917AC0"/>
    <w:rsid w:val="00923162"/>
    <w:rsid w:val="0092400A"/>
    <w:rsid w:val="0092511B"/>
    <w:rsid w:val="009259AC"/>
    <w:rsid w:val="00926F38"/>
    <w:rsid w:val="00934301"/>
    <w:rsid w:val="009366CB"/>
    <w:rsid w:val="00936CD1"/>
    <w:rsid w:val="00941747"/>
    <w:rsid w:val="00941EFB"/>
    <w:rsid w:val="00947AFB"/>
    <w:rsid w:val="00951D7D"/>
    <w:rsid w:val="00957A88"/>
    <w:rsid w:val="00960FF6"/>
    <w:rsid w:val="009630C7"/>
    <w:rsid w:val="00964336"/>
    <w:rsid w:val="00972B55"/>
    <w:rsid w:val="009743B7"/>
    <w:rsid w:val="0098228B"/>
    <w:rsid w:val="009828DA"/>
    <w:rsid w:val="00982DB9"/>
    <w:rsid w:val="00985BAB"/>
    <w:rsid w:val="00993701"/>
    <w:rsid w:val="009945AF"/>
    <w:rsid w:val="00996DAA"/>
    <w:rsid w:val="00996DCE"/>
    <w:rsid w:val="00996F76"/>
    <w:rsid w:val="009A1E38"/>
    <w:rsid w:val="009B1B5F"/>
    <w:rsid w:val="009B6673"/>
    <w:rsid w:val="009C0655"/>
    <w:rsid w:val="009C0FB7"/>
    <w:rsid w:val="009C191B"/>
    <w:rsid w:val="009C2BD6"/>
    <w:rsid w:val="009C3D41"/>
    <w:rsid w:val="009D36F9"/>
    <w:rsid w:val="009E0462"/>
    <w:rsid w:val="009E1F32"/>
    <w:rsid w:val="009E3740"/>
    <w:rsid w:val="009E776C"/>
    <w:rsid w:val="009F6E83"/>
    <w:rsid w:val="00A04203"/>
    <w:rsid w:val="00A060D9"/>
    <w:rsid w:val="00A11CCD"/>
    <w:rsid w:val="00A16494"/>
    <w:rsid w:val="00A1726E"/>
    <w:rsid w:val="00A17839"/>
    <w:rsid w:val="00A204CF"/>
    <w:rsid w:val="00A22F2B"/>
    <w:rsid w:val="00A23D49"/>
    <w:rsid w:val="00A27004"/>
    <w:rsid w:val="00A30C29"/>
    <w:rsid w:val="00A34DD6"/>
    <w:rsid w:val="00A36819"/>
    <w:rsid w:val="00A36989"/>
    <w:rsid w:val="00A43628"/>
    <w:rsid w:val="00A457E9"/>
    <w:rsid w:val="00A46A1D"/>
    <w:rsid w:val="00A52546"/>
    <w:rsid w:val="00A54192"/>
    <w:rsid w:val="00A5482F"/>
    <w:rsid w:val="00A55381"/>
    <w:rsid w:val="00A6035E"/>
    <w:rsid w:val="00A6144C"/>
    <w:rsid w:val="00A6439D"/>
    <w:rsid w:val="00A66617"/>
    <w:rsid w:val="00A671F8"/>
    <w:rsid w:val="00A673A4"/>
    <w:rsid w:val="00A724AE"/>
    <w:rsid w:val="00A73329"/>
    <w:rsid w:val="00A737D1"/>
    <w:rsid w:val="00A73F91"/>
    <w:rsid w:val="00A80F70"/>
    <w:rsid w:val="00A8195E"/>
    <w:rsid w:val="00A82359"/>
    <w:rsid w:val="00A865D2"/>
    <w:rsid w:val="00A91B60"/>
    <w:rsid w:val="00A92482"/>
    <w:rsid w:val="00A936F2"/>
    <w:rsid w:val="00A94C20"/>
    <w:rsid w:val="00AA065B"/>
    <w:rsid w:val="00AA227F"/>
    <w:rsid w:val="00AA3BC7"/>
    <w:rsid w:val="00AA3C17"/>
    <w:rsid w:val="00AA5FCF"/>
    <w:rsid w:val="00AA754A"/>
    <w:rsid w:val="00AB099E"/>
    <w:rsid w:val="00AB4328"/>
    <w:rsid w:val="00AC2B71"/>
    <w:rsid w:val="00AD4ACC"/>
    <w:rsid w:val="00AE0A2E"/>
    <w:rsid w:val="00AE354C"/>
    <w:rsid w:val="00AE42A1"/>
    <w:rsid w:val="00AE47FB"/>
    <w:rsid w:val="00AE51C7"/>
    <w:rsid w:val="00AE6165"/>
    <w:rsid w:val="00AE6E50"/>
    <w:rsid w:val="00AE7FE5"/>
    <w:rsid w:val="00AF047A"/>
    <w:rsid w:val="00AF2177"/>
    <w:rsid w:val="00AF4B07"/>
    <w:rsid w:val="00AF6186"/>
    <w:rsid w:val="00AF7A3A"/>
    <w:rsid w:val="00B0552C"/>
    <w:rsid w:val="00B160DB"/>
    <w:rsid w:val="00B20836"/>
    <w:rsid w:val="00B235BB"/>
    <w:rsid w:val="00B26BBF"/>
    <w:rsid w:val="00B27A44"/>
    <w:rsid w:val="00B30BBF"/>
    <w:rsid w:val="00B324C6"/>
    <w:rsid w:val="00B33C03"/>
    <w:rsid w:val="00B353AC"/>
    <w:rsid w:val="00B36D76"/>
    <w:rsid w:val="00B44E56"/>
    <w:rsid w:val="00B46543"/>
    <w:rsid w:val="00B47BF2"/>
    <w:rsid w:val="00B47D33"/>
    <w:rsid w:val="00B52BE0"/>
    <w:rsid w:val="00B54133"/>
    <w:rsid w:val="00B5473B"/>
    <w:rsid w:val="00B639A2"/>
    <w:rsid w:val="00B65CBA"/>
    <w:rsid w:val="00B701ED"/>
    <w:rsid w:val="00B77D3B"/>
    <w:rsid w:val="00B8086C"/>
    <w:rsid w:val="00B861B4"/>
    <w:rsid w:val="00B86DFE"/>
    <w:rsid w:val="00B90990"/>
    <w:rsid w:val="00B922FF"/>
    <w:rsid w:val="00B924F2"/>
    <w:rsid w:val="00B9281E"/>
    <w:rsid w:val="00B93925"/>
    <w:rsid w:val="00B94E4E"/>
    <w:rsid w:val="00B95187"/>
    <w:rsid w:val="00B95BB2"/>
    <w:rsid w:val="00BA1972"/>
    <w:rsid w:val="00BA2D55"/>
    <w:rsid w:val="00BA3306"/>
    <w:rsid w:val="00BA71B1"/>
    <w:rsid w:val="00BB0637"/>
    <w:rsid w:val="00BB2D2A"/>
    <w:rsid w:val="00BB345F"/>
    <w:rsid w:val="00BB4A6F"/>
    <w:rsid w:val="00BB68EA"/>
    <w:rsid w:val="00BB6DF4"/>
    <w:rsid w:val="00BC0DA4"/>
    <w:rsid w:val="00BC1C27"/>
    <w:rsid w:val="00BC1DC1"/>
    <w:rsid w:val="00BC588B"/>
    <w:rsid w:val="00BC64D4"/>
    <w:rsid w:val="00BC6BBF"/>
    <w:rsid w:val="00BD1572"/>
    <w:rsid w:val="00BD5075"/>
    <w:rsid w:val="00BD6CB7"/>
    <w:rsid w:val="00BE14E3"/>
    <w:rsid w:val="00BE3774"/>
    <w:rsid w:val="00BE41E5"/>
    <w:rsid w:val="00BF251B"/>
    <w:rsid w:val="00BF4109"/>
    <w:rsid w:val="00BF4CC3"/>
    <w:rsid w:val="00BF6D3F"/>
    <w:rsid w:val="00C054C7"/>
    <w:rsid w:val="00C057B5"/>
    <w:rsid w:val="00C22687"/>
    <w:rsid w:val="00C23489"/>
    <w:rsid w:val="00C328FA"/>
    <w:rsid w:val="00C32E4D"/>
    <w:rsid w:val="00C333A0"/>
    <w:rsid w:val="00C36A81"/>
    <w:rsid w:val="00C37BBE"/>
    <w:rsid w:val="00C41974"/>
    <w:rsid w:val="00C511A5"/>
    <w:rsid w:val="00C53F4A"/>
    <w:rsid w:val="00C54125"/>
    <w:rsid w:val="00C55B54"/>
    <w:rsid w:val="00C6098E"/>
    <w:rsid w:val="00C6141A"/>
    <w:rsid w:val="00C6152C"/>
    <w:rsid w:val="00C638FC"/>
    <w:rsid w:val="00C64FB9"/>
    <w:rsid w:val="00C74810"/>
    <w:rsid w:val="00C759DE"/>
    <w:rsid w:val="00C8776F"/>
    <w:rsid w:val="00C90D68"/>
    <w:rsid w:val="00C939FE"/>
    <w:rsid w:val="00CA4BDA"/>
    <w:rsid w:val="00CA56A3"/>
    <w:rsid w:val="00CA5754"/>
    <w:rsid w:val="00CB1F66"/>
    <w:rsid w:val="00CB2951"/>
    <w:rsid w:val="00CD031F"/>
    <w:rsid w:val="00CD0FED"/>
    <w:rsid w:val="00CD282B"/>
    <w:rsid w:val="00CD3FB6"/>
    <w:rsid w:val="00CD4C35"/>
    <w:rsid w:val="00CD5AEB"/>
    <w:rsid w:val="00CD7369"/>
    <w:rsid w:val="00CE02F9"/>
    <w:rsid w:val="00CE0B0E"/>
    <w:rsid w:val="00CE3831"/>
    <w:rsid w:val="00CF43EA"/>
    <w:rsid w:val="00CF5ABE"/>
    <w:rsid w:val="00D00043"/>
    <w:rsid w:val="00D005AB"/>
    <w:rsid w:val="00D00ABB"/>
    <w:rsid w:val="00D02D6B"/>
    <w:rsid w:val="00D02EEC"/>
    <w:rsid w:val="00D03551"/>
    <w:rsid w:val="00D04058"/>
    <w:rsid w:val="00D047CA"/>
    <w:rsid w:val="00D048F8"/>
    <w:rsid w:val="00D06A5D"/>
    <w:rsid w:val="00D06A63"/>
    <w:rsid w:val="00D07E0E"/>
    <w:rsid w:val="00D11478"/>
    <w:rsid w:val="00D15ED0"/>
    <w:rsid w:val="00D21B3E"/>
    <w:rsid w:val="00D21FED"/>
    <w:rsid w:val="00D24251"/>
    <w:rsid w:val="00D27D95"/>
    <w:rsid w:val="00D31E07"/>
    <w:rsid w:val="00D342E9"/>
    <w:rsid w:val="00D343E2"/>
    <w:rsid w:val="00D361A2"/>
    <w:rsid w:val="00D44C2E"/>
    <w:rsid w:val="00D45414"/>
    <w:rsid w:val="00D566BD"/>
    <w:rsid w:val="00D57A4D"/>
    <w:rsid w:val="00D60AA7"/>
    <w:rsid w:val="00D63F61"/>
    <w:rsid w:val="00D6435F"/>
    <w:rsid w:val="00D652FC"/>
    <w:rsid w:val="00D65B86"/>
    <w:rsid w:val="00D74D00"/>
    <w:rsid w:val="00D75E28"/>
    <w:rsid w:val="00D772C2"/>
    <w:rsid w:val="00D8008E"/>
    <w:rsid w:val="00D82548"/>
    <w:rsid w:val="00D82C45"/>
    <w:rsid w:val="00D84411"/>
    <w:rsid w:val="00D904FC"/>
    <w:rsid w:val="00D908A8"/>
    <w:rsid w:val="00D977B6"/>
    <w:rsid w:val="00DA4A31"/>
    <w:rsid w:val="00DA653F"/>
    <w:rsid w:val="00DA6FA8"/>
    <w:rsid w:val="00DA7B04"/>
    <w:rsid w:val="00DB03BA"/>
    <w:rsid w:val="00DB0552"/>
    <w:rsid w:val="00DB1EAC"/>
    <w:rsid w:val="00DB36C2"/>
    <w:rsid w:val="00DC169B"/>
    <w:rsid w:val="00DC2AB9"/>
    <w:rsid w:val="00DC4033"/>
    <w:rsid w:val="00DC63F0"/>
    <w:rsid w:val="00DD53FC"/>
    <w:rsid w:val="00DD6EE5"/>
    <w:rsid w:val="00DE1A0E"/>
    <w:rsid w:val="00DE20FE"/>
    <w:rsid w:val="00DE2D71"/>
    <w:rsid w:val="00DE386C"/>
    <w:rsid w:val="00DE4D35"/>
    <w:rsid w:val="00DF098B"/>
    <w:rsid w:val="00DF11C4"/>
    <w:rsid w:val="00DF210C"/>
    <w:rsid w:val="00DF4B6A"/>
    <w:rsid w:val="00DF7772"/>
    <w:rsid w:val="00E02C09"/>
    <w:rsid w:val="00E04D59"/>
    <w:rsid w:val="00E07DA1"/>
    <w:rsid w:val="00E123CB"/>
    <w:rsid w:val="00E13871"/>
    <w:rsid w:val="00E154EF"/>
    <w:rsid w:val="00E17F18"/>
    <w:rsid w:val="00E20E13"/>
    <w:rsid w:val="00E21DBC"/>
    <w:rsid w:val="00E274F4"/>
    <w:rsid w:val="00E275D7"/>
    <w:rsid w:val="00E27DBE"/>
    <w:rsid w:val="00E319DA"/>
    <w:rsid w:val="00E32AB1"/>
    <w:rsid w:val="00E36C71"/>
    <w:rsid w:val="00E37C0E"/>
    <w:rsid w:val="00E37C5E"/>
    <w:rsid w:val="00E40404"/>
    <w:rsid w:val="00E42A5A"/>
    <w:rsid w:val="00E4591A"/>
    <w:rsid w:val="00E459C6"/>
    <w:rsid w:val="00E4651D"/>
    <w:rsid w:val="00E47589"/>
    <w:rsid w:val="00E562AE"/>
    <w:rsid w:val="00E6052C"/>
    <w:rsid w:val="00E64915"/>
    <w:rsid w:val="00E661D4"/>
    <w:rsid w:val="00E6642A"/>
    <w:rsid w:val="00E70091"/>
    <w:rsid w:val="00E720F5"/>
    <w:rsid w:val="00E73BD5"/>
    <w:rsid w:val="00E76D47"/>
    <w:rsid w:val="00E82C39"/>
    <w:rsid w:val="00E849F7"/>
    <w:rsid w:val="00E8631B"/>
    <w:rsid w:val="00E90302"/>
    <w:rsid w:val="00E903C5"/>
    <w:rsid w:val="00E90513"/>
    <w:rsid w:val="00E97396"/>
    <w:rsid w:val="00EA185E"/>
    <w:rsid w:val="00EA2899"/>
    <w:rsid w:val="00EA2A08"/>
    <w:rsid w:val="00EA592A"/>
    <w:rsid w:val="00EA609E"/>
    <w:rsid w:val="00EB14E4"/>
    <w:rsid w:val="00EB32A5"/>
    <w:rsid w:val="00EB34ED"/>
    <w:rsid w:val="00EB447C"/>
    <w:rsid w:val="00EB70E1"/>
    <w:rsid w:val="00EB7BE0"/>
    <w:rsid w:val="00EC315E"/>
    <w:rsid w:val="00ED077C"/>
    <w:rsid w:val="00ED1190"/>
    <w:rsid w:val="00ED6544"/>
    <w:rsid w:val="00EE0277"/>
    <w:rsid w:val="00EE2095"/>
    <w:rsid w:val="00EE3E00"/>
    <w:rsid w:val="00EE5DD2"/>
    <w:rsid w:val="00EF1360"/>
    <w:rsid w:val="00EF3A09"/>
    <w:rsid w:val="00EF507B"/>
    <w:rsid w:val="00EF7952"/>
    <w:rsid w:val="00EF7F5E"/>
    <w:rsid w:val="00F00A79"/>
    <w:rsid w:val="00F00E86"/>
    <w:rsid w:val="00F07C1E"/>
    <w:rsid w:val="00F105DB"/>
    <w:rsid w:val="00F12F5C"/>
    <w:rsid w:val="00F132BC"/>
    <w:rsid w:val="00F13D80"/>
    <w:rsid w:val="00F16AAA"/>
    <w:rsid w:val="00F21161"/>
    <w:rsid w:val="00F218EF"/>
    <w:rsid w:val="00F21BC7"/>
    <w:rsid w:val="00F23527"/>
    <w:rsid w:val="00F25813"/>
    <w:rsid w:val="00F266A2"/>
    <w:rsid w:val="00F3045F"/>
    <w:rsid w:val="00F32269"/>
    <w:rsid w:val="00F338B7"/>
    <w:rsid w:val="00F360A8"/>
    <w:rsid w:val="00F40194"/>
    <w:rsid w:val="00F55E65"/>
    <w:rsid w:val="00F56A6F"/>
    <w:rsid w:val="00F5709C"/>
    <w:rsid w:val="00F57445"/>
    <w:rsid w:val="00F6348B"/>
    <w:rsid w:val="00F64EF1"/>
    <w:rsid w:val="00F65292"/>
    <w:rsid w:val="00F858B2"/>
    <w:rsid w:val="00F8765F"/>
    <w:rsid w:val="00F87D87"/>
    <w:rsid w:val="00F90767"/>
    <w:rsid w:val="00FA6597"/>
    <w:rsid w:val="00FA685B"/>
    <w:rsid w:val="00FB0C01"/>
    <w:rsid w:val="00FC18F2"/>
    <w:rsid w:val="00FC39E5"/>
    <w:rsid w:val="00FC3A78"/>
    <w:rsid w:val="00FC42BD"/>
    <w:rsid w:val="00FC53E1"/>
    <w:rsid w:val="00FC6482"/>
    <w:rsid w:val="00FD1005"/>
    <w:rsid w:val="00FD10FC"/>
    <w:rsid w:val="00FD6C75"/>
    <w:rsid w:val="00FE2D60"/>
    <w:rsid w:val="00FE71B3"/>
    <w:rsid w:val="00FF25FF"/>
    <w:rsid w:val="00FF42C5"/>
    <w:rsid w:val="00FF6284"/>
    <w:rsid w:val="00FF6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tr-TR"/>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45649E"/>
    <w:pPr>
      <w:jc w:val="both"/>
    </w:pPr>
    <w:rPr>
      <w:rFonts w:eastAsiaTheme="minorEastAsia"/>
      <w:sz w:val="24"/>
    </w:rPr>
  </w:style>
  <w:style w:type="paragraph" w:styleId="Balk1">
    <w:name w:val="heading 1"/>
    <w:basedOn w:val="Normal"/>
    <w:next w:val="Normal"/>
    <w:link w:val="Balk1Char"/>
    <w:uiPriority w:val="99"/>
    <w:semiHidden/>
    <w:rsid w:val="0045649E"/>
    <w:pPr>
      <w:spacing w:before="480"/>
      <w:contextualSpacing/>
      <w:outlineLvl w:val="0"/>
    </w:pPr>
    <w:rPr>
      <w:rFonts w:asciiTheme="majorHAnsi" w:eastAsiaTheme="majorEastAsia" w:hAnsiTheme="majorHAnsi" w:cstheme="majorBidi"/>
      <w:b/>
      <w:bCs/>
      <w:color w:val="333333"/>
      <w:sz w:val="28"/>
      <w:szCs w:val="28"/>
    </w:rPr>
  </w:style>
  <w:style w:type="paragraph" w:styleId="Balk2">
    <w:name w:val="heading 2"/>
    <w:basedOn w:val="Normal"/>
    <w:next w:val="Normal"/>
    <w:link w:val="Balk2Char"/>
    <w:uiPriority w:val="99"/>
    <w:semiHidden/>
    <w:rsid w:val="0045649E"/>
    <w:pPr>
      <w:spacing w:before="200"/>
      <w:outlineLvl w:val="1"/>
    </w:pPr>
    <w:rPr>
      <w:rFonts w:asciiTheme="majorHAnsi" w:eastAsiaTheme="majorEastAsia" w:hAnsiTheme="majorHAnsi" w:cstheme="majorBidi"/>
      <w:b/>
      <w:bCs/>
      <w:color w:val="4D4D4D"/>
      <w:sz w:val="26"/>
      <w:szCs w:val="26"/>
    </w:rPr>
  </w:style>
  <w:style w:type="paragraph" w:styleId="Balk3">
    <w:name w:val="heading 3"/>
    <w:basedOn w:val="Normal"/>
    <w:next w:val="Normal"/>
    <w:link w:val="Balk3Char"/>
    <w:uiPriority w:val="99"/>
    <w:semiHidden/>
    <w:rsid w:val="0045649E"/>
    <w:pPr>
      <w:spacing w:before="200" w:line="271" w:lineRule="auto"/>
      <w:outlineLvl w:val="2"/>
    </w:pPr>
    <w:rPr>
      <w:rFonts w:asciiTheme="majorHAnsi" w:eastAsiaTheme="majorEastAsia" w:hAnsiTheme="majorHAnsi" w:cstheme="majorBidi"/>
      <w:b/>
      <w:bCs/>
      <w:color w:val="5F5F5F"/>
    </w:rPr>
  </w:style>
  <w:style w:type="paragraph" w:styleId="Balk4">
    <w:name w:val="heading 4"/>
    <w:basedOn w:val="Normal"/>
    <w:next w:val="Normal"/>
    <w:link w:val="Balk4Char"/>
    <w:uiPriority w:val="99"/>
    <w:semiHidden/>
    <w:rsid w:val="0045649E"/>
    <w:pPr>
      <w:spacing w:before="200"/>
      <w:outlineLvl w:val="3"/>
    </w:pPr>
    <w:rPr>
      <w:rFonts w:asciiTheme="majorHAnsi" w:eastAsiaTheme="majorEastAsia" w:hAnsiTheme="majorHAnsi" w:cstheme="majorBidi"/>
      <w:b/>
      <w:bCs/>
      <w:i/>
      <w:iCs/>
      <w:color w:val="777777"/>
    </w:rPr>
  </w:style>
  <w:style w:type="paragraph" w:styleId="Balk5">
    <w:name w:val="heading 5"/>
    <w:basedOn w:val="Normal"/>
    <w:next w:val="Normal"/>
    <w:link w:val="Balk5Char"/>
    <w:uiPriority w:val="99"/>
    <w:semiHidden/>
    <w:qFormat/>
    <w:rsid w:val="007C6A77"/>
    <w:pPr>
      <w:spacing w:before="200"/>
      <w:outlineLvl w:val="4"/>
    </w:pPr>
    <w:rPr>
      <w:rFonts w:asciiTheme="majorHAnsi" w:eastAsiaTheme="majorEastAsia" w:hAnsiTheme="majorHAnsi" w:cstheme="majorBidi"/>
      <w:b/>
      <w:bCs/>
      <w:color w:val="808080"/>
      <w:sz w:val="22"/>
    </w:rPr>
  </w:style>
  <w:style w:type="paragraph" w:styleId="Balk6">
    <w:name w:val="heading 6"/>
    <w:basedOn w:val="Normal"/>
    <w:next w:val="Normal"/>
    <w:link w:val="Balk6Char"/>
    <w:uiPriority w:val="99"/>
    <w:semiHidden/>
    <w:rsid w:val="0045649E"/>
    <w:pPr>
      <w:spacing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9"/>
    <w:semiHidden/>
    <w:qFormat/>
    <w:rsid w:val="007C6A77"/>
    <w:pPr>
      <w:outlineLvl w:val="6"/>
    </w:pPr>
    <w:rPr>
      <w:rFonts w:asciiTheme="majorHAnsi" w:eastAsiaTheme="majorEastAsia" w:hAnsiTheme="majorHAnsi" w:cstheme="majorBidi"/>
      <w:i/>
      <w:iCs/>
      <w:sz w:val="22"/>
    </w:rPr>
  </w:style>
  <w:style w:type="paragraph" w:styleId="Balk8">
    <w:name w:val="heading 8"/>
    <w:basedOn w:val="Normal"/>
    <w:next w:val="Normal"/>
    <w:link w:val="Balk8Char"/>
    <w:uiPriority w:val="99"/>
    <w:semiHidden/>
    <w:qFormat/>
    <w:rsid w:val="007C6A77"/>
    <w:pPr>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9"/>
    <w:semiHidden/>
    <w:qFormat/>
    <w:rsid w:val="007C6A77"/>
    <w:pPr>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45649E"/>
    <w:rPr>
      <w:rFonts w:ascii="Tahoma" w:hAnsi="Tahoma" w:cs="Tahoma"/>
      <w:sz w:val="16"/>
      <w:szCs w:val="16"/>
    </w:rPr>
  </w:style>
  <w:style w:type="character" w:customStyle="1" w:styleId="BalonMetniChar">
    <w:name w:val="Balon Metni Char"/>
    <w:basedOn w:val="VarsaylanParagrafYazTipi"/>
    <w:link w:val="BalonMetni"/>
    <w:uiPriority w:val="99"/>
    <w:semiHidden/>
    <w:rsid w:val="0045649E"/>
    <w:rPr>
      <w:rFonts w:ascii="Tahoma" w:eastAsiaTheme="minorEastAsia" w:hAnsi="Tahoma" w:cs="Tahoma"/>
      <w:sz w:val="16"/>
      <w:szCs w:val="16"/>
    </w:rPr>
  </w:style>
  <w:style w:type="character" w:styleId="KitapBal">
    <w:name w:val="Book Title"/>
    <w:uiPriority w:val="99"/>
    <w:semiHidden/>
    <w:qFormat/>
    <w:rsid w:val="007C6A77"/>
    <w:rPr>
      <w:i/>
      <w:iCs/>
      <w:smallCaps/>
      <w:spacing w:val="5"/>
    </w:rPr>
  </w:style>
  <w:style w:type="paragraph" w:customStyle="1" w:styleId="ECHRHeader">
    <w:name w:val="ECHR_Header"/>
    <w:aliases w:val="Ju_Header"/>
    <w:basedOn w:val="stBilgi"/>
    <w:uiPriority w:val="4"/>
    <w:qFormat/>
    <w:rsid w:val="007C6A77"/>
    <w:pPr>
      <w:tabs>
        <w:tab w:val="clear" w:pos="4536"/>
        <w:tab w:val="clear" w:pos="9072"/>
        <w:tab w:val="center" w:pos="3686"/>
        <w:tab w:val="right" w:pos="7371"/>
      </w:tabs>
      <w:jc w:val="left"/>
    </w:pPr>
    <w:rPr>
      <w:sz w:val="18"/>
    </w:rPr>
  </w:style>
  <w:style w:type="paragraph" w:customStyle="1" w:styleId="JuAppQuestion">
    <w:name w:val="Ju_App_Question"/>
    <w:basedOn w:val="Normal"/>
    <w:uiPriority w:val="5"/>
    <w:semiHidden/>
    <w:qFormat/>
    <w:rsid w:val="007C6A77"/>
    <w:pPr>
      <w:numPr>
        <w:numId w:val="41"/>
      </w:numPr>
      <w:jc w:val="left"/>
    </w:pPr>
    <w:rPr>
      <w:b/>
    </w:rPr>
  </w:style>
  <w:style w:type="character" w:styleId="Gl">
    <w:name w:val="Strong"/>
    <w:uiPriority w:val="99"/>
    <w:semiHidden/>
    <w:qFormat/>
    <w:rsid w:val="007C6A77"/>
    <w:rPr>
      <w:b/>
      <w:bCs/>
    </w:rPr>
  </w:style>
  <w:style w:type="paragraph" w:styleId="AralkYok">
    <w:name w:val="No Spacing"/>
    <w:basedOn w:val="Normal"/>
    <w:link w:val="AralkYokChar"/>
    <w:semiHidden/>
    <w:qFormat/>
    <w:rsid w:val="007C6A77"/>
    <w:rPr>
      <w:sz w:val="22"/>
    </w:rPr>
  </w:style>
  <w:style w:type="character" w:customStyle="1" w:styleId="AralkYokChar">
    <w:name w:val="Aralık Yok Char"/>
    <w:basedOn w:val="VarsaylanParagrafYazTipi"/>
    <w:link w:val="AralkYok"/>
    <w:semiHidden/>
    <w:rsid w:val="007C6A77"/>
    <w:rPr>
      <w:rFonts w:eastAsiaTheme="minorEastAsia"/>
    </w:rPr>
  </w:style>
  <w:style w:type="paragraph" w:customStyle="1" w:styleId="ECHRParaQuote">
    <w:name w:val="ECHR_Para_Quote"/>
    <w:aliases w:val="Ju_Quot"/>
    <w:basedOn w:val="Normal"/>
    <w:link w:val="JuQuotChar"/>
    <w:uiPriority w:val="14"/>
    <w:qFormat/>
    <w:rsid w:val="007C6A77"/>
    <w:pPr>
      <w:spacing w:before="120" w:after="120"/>
      <w:ind w:left="425" w:firstLine="142"/>
    </w:pPr>
    <w:rPr>
      <w:sz w:val="20"/>
    </w:rPr>
  </w:style>
  <w:style w:type="paragraph" w:customStyle="1" w:styleId="OpiPara">
    <w:name w:val="Opi_Para"/>
    <w:basedOn w:val="ECHRPara"/>
    <w:uiPriority w:val="46"/>
    <w:qFormat/>
    <w:rsid w:val="007C6A77"/>
  </w:style>
  <w:style w:type="paragraph" w:customStyle="1" w:styleId="JuParaSub">
    <w:name w:val="Ju_Para_Sub"/>
    <w:basedOn w:val="ECHRPara"/>
    <w:uiPriority w:val="13"/>
    <w:qFormat/>
    <w:rsid w:val="007C6A77"/>
    <w:pPr>
      <w:ind w:left="284"/>
    </w:pPr>
  </w:style>
  <w:style w:type="paragraph" w:customStyle="1" w:styleId="OpiParaSub">
    <w:name w:val="Opi_Para_Sub"/>
    <w:basedOn w:val="JuParaSub"/>
    <w:uiPriority w:val="47"/>
    <w:qFormat/>
    <w:rsid w:val="007C6A77"/>
  </w:style>
  <w:style w:type="paragraph" w:customStyle="1" w:styleId="OpiQuot">
    <w:name w:val="Opi_Quot"/>
    <w:basedOn w:val="ECHRParaQuote"/>
    <w:uiPriority w:val="48"/>
    <w:qFormat/>
    <w:rsid w:val="007C6A77"/>
  </w:style>
  <w:style w:type="paragraph" w:customStyle="1" w:styleId="ECHRTitleCentre3">
    <w:name w:val="ECHR_Title_Centre_3"/>
    <w:aliases w:val="Ju_H_Article"/>
    <w:basedOn w:val="Normal"/>
    <w:next w:val="ECHRParaQuote"/>
    <w:uiPriority w:val="27"/>
    <w:qFormat/>
    <w:rsid w:val="007C6A77"/>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7C6A7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7C6A77"/>
    <w:pPr>
      <w:ind w:left="567"/>
    </w:pPr>
  </w:style>
  <w:style w:type="paragraph" w:customStyle="1" w:styleId="ECHRTitle1">
    <w:name w:val="ECHR_Title_1"/>
    <w:aliases w:val="Ju_H_Head"/>
    <w:basedOn w:val="Normal"/>
    <w:next w:val="ECHRPara"/>
    <w:uiPriority w:val="18"/>
    <w:qFormat/>
    <w:rsid w:val="007C6A77"/>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7C6A77"/>
    <w:pPr>
      <w:tabs>
        <w:tab w:val="center" w:pos="6407"/>
      </w:tabs>
      <w:spacing w:before="720"/>
      <w:jc w:val="right"/>
    </w:pPr>
  </w:style>
  <w:style w:type="paragraph" w:customStyle="1" w:styleId="JuSigned">
    <w:name w:val="Ju_Signed"/>
    <w:basedOn w:val="Normal"/>
    <w:next w:val="JuParaLast"/>
    <w:uiPriority w:val="32"/>
    <w:qFormat/>
    <w:rsid w:val="007C6A77"/>
    <w:pPr>
      <w:tabs>
        <w:tab w:val="center" w:pos="851"/>
        <w:tab w:val="center" w:pos="6407"/>
      </w:tabs>
      <w:spacing w:before="720"/>
      <w:jc w:val="left"/>
    </w:pPr>
  </w:style>
  <w:style w:type="paragraph" w:styleId="KonuBal">
    <w:name w:val="Title"/>
    <w:basedOn w:val="Normal"/>
    <w:next w:val="Normal"/>
    <w:link w:val="KonuBalChar"/>
    <w:uiPriority w:val="99"/>
    <w:semiHidden/>
    <w:qFormat/>
    <w:rsid w:val="007C6A7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99"/>
    <w:semiHidden/>
    <w:rsid w:val="007C6A77"/>
    <w:rPr>
      <w:rFonts w:asciiTheme="majorHAnsi" w:eastAsiaTheme="majorEastAsia" w:hAnsiTheme="majorHAnsi" w:cstheme="majorBidi"/>
      <w:spacing w:val="5"/>
      <w:sz w:val="52"/>
      <w:szCs w:val="52"/>
      <w:lang w:bidi="tr-TR"/>
    </w:rPr>
  </w:style>
  <w:style w:type="paragraph" w:customStyle="1" w:styleId="OpiQuotSub">
    <w:name w:val="Opi_Quot_Sub"/>
    <w:basedOn w:val="JuQuotSub"/>
    <w:uiPriority w:val="49"/>
    <w:qFormat/>
    <w:rsid w:val="007C6A77"/>
  </w:style>
  <w:style w:type="paragraph" w:customStyle="1" w:styleId="JuTitle">
    <w:name w:val="Ju_Title"/>
    <w:basedOn w:val="Normal"/>
    <w:next w:val="ECHRPara"/>
    <w:uiPriority w:val="3"/>
    <w:semiHidden/>
    <w:qFormat/>
    <w:rsid w:val="007C6A77"/>
    <w:pPr>
      <w:spacing w:before="720" w:after="240"/>
      <w:jc w:val="center"/>
      <w:outlineLvl w:val="0"/>
    </w:pPr>
    <w:rPr>
      <w:rFonts w:asciiTheme="majorHAnsi" w:hAnsiTheme="majorHAnsi"/>
      <w:b/>
      <w:caps/>
    </w:rPr>
  </w:style>
  <w:style w:type="character" w:customStyle="1" w:styleId="JuITMark">
    <w:name w:val="Ju_ITMark"/>
    <w:basedOn w:val="VarsaylanParagrafYazTipi"/>
    <w:uiPriority w:val="38"/>
    <w:qFormat/>
    <w:rsid w:val="007C6A77"/>
    <w:rPr>
      <w:vanish w:val="0"/>
      <w:color w:val="auto"/>
      <w:sz w:val="14"/>
      <w:bdr w:val="none" w:sz="0" w:space="0" w:color="auto"/>
      <w:shd w:val="clear" w:color="auto" w:fill="BEE5FF" w:themeFill="background1" w:themeFillTint="33"/>
    </w:rPr>
  </w:style>
  <w:style w:type="paragraph" w:customStyle="1" w:styleId="OpiHA">
    <w:name w:val="Opi_H_A"/>
    <w:basedOn w:val="ECHRHeading1"/>
    <w:next w:val="OpiPara"/>
    <w:uiPriority w:val="41"/>
    <w:qFormat/>
    <w:rsid w:val="007C6A77"/>
    <w:pPr>
      <w:tabs>
        <w:tab w:val="clear" w:pos="357"/>
      </w:tabs>
      <w:outlineLvl w:val="1"/>
    </w:pPr>
    <w:rPr>
      <w:b/>
    </w:rPr>
  </w:style>
  <w:style w:type="paragraph" w:customStyle="1" w:styleId="JuCourt">
    <w:name w:val="Ju_Court"/>
    <w:basedOn w:val="Normal"/>
    <w:next w:val="Normal"/>
    <w:uiPriority w:val="16"/>
    <w:qFormat/>
    <w:rsid w:val="007C6A77"/>
    <w:pPr>
      <w:tabs>
        <w:tab w:val="left" w:pos="907"/>
        <w:tab w:val="left" w:pos="1701"/>
        <w:tab w:val="right" w:pos="7371"/>
      </w:tabs>
      <w:spacing w:before="240"/>
      <w:ind w:left="397" w:hanging="397"/>
      <w:jc w:val="left"/>
    </w:pPr>
  </w:style>
  <w:style w:type="paragraph" w:customStyle="1" w:styleId="ECHRHeading1">
    <w:name w:val="ECHR_Heading_1"/>
    <w:aliases w:val="Ju_H_I_Roman"/>
    <w:basedOn w:val="Balk1"/>
    <w:next w:val="ECHRPara"/>
    <w:uiPriority w:val="19"/>
    <w:qFormat/>
    <w:rsid w:val="007C6A7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Balk2"/>
    <w:next w:val="ECHRPara"/>
    <w:uiPriority w:val="20"/>
    <w:qFormat/>
    <w:rsid w:val="007C6A77"/>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Balk3"/>
    <w:next w:val="ECHRPara"/>
    <w:uiPriority w:val="21"/>
    <w:qFormat/>
    <w:rsid w:val="007C6A77"/>
    <w:pPr>
      <w:keepNext/>
      <w:keepLines/>
      <w:tabs>
        <w:tab w:val="left" w:pos="731"/>
      </w:tabs>
      <w:spacing w:before="240" w:after="120" w:line="240" w:lineRule="auto"/>
      <w:ind w:left="732" w:hanging="301"/>
    </w:pPr>
    <w:rPr>
      <w:b w:val="0"/>
      <w:i/>
      <w:color w:val="auto"/>
    </w:rPr>
  </w:style>
  <w:style w:type="paragraph" w:styleId="stBilgi">
    <w:name w:val="header"/>
    <w:basedOn w:val="Normal"/>
    <w:link w:val="stBilgiChar"/>
    <w:uiPriority w:val="57"/>
    <w:semiHidden/>
    <w:rsid w:val="0045649E"/>
    <w:pPr>
      <w:tabs>
        <w:tab w:val="center" w:pos="4536"/>
        <w:tab w:val="right" w:pos="9072"/>
      </w:tabs>
    </w:pPr>
    <w:rPr>
      <w:rFonts w:eastAsiaTheme="minorHAnsi"/>
    </w:rPr>
  </w:style>
  <w:style w:type="character" w:customStyle="1" w:styleId="stBilgiChar">
    <w:name w:val="Üst Bilgi Char"/>
    <w:basedOn w:val="VarsaylanParagrafYazTipi"/>
    <w:link w:val="stBilgi"/>
    <w:uiPriority w:val="57"/>
    <w:rsid w:val="0045649E"/>
    <w:rPr>
      <w:sz w:val="24"/>
    </w:rPr>
  </w:style>
  <w:style w:type="character" w:customStyle="1" w:styleId="Balk1Char">
    <w:name w:val="Başlık 1 Char"/>
    <w:basedOn w:val="VarsaylanParagrafYazTipi"/>
    <w:link w:val="Balk1"/>
    <w:uiPriority w:val="99"/>
    <w:semiHidden/>
    <w:rsid w:val="0045649E"/>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Balk4"/>
    <w:next w:val="ECHRPara"/>
    <w:uiPriority w:val="22"/>
    <w:qFormat/>
    <w:rsid w:val="007C6A7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Balk5"/>
    <w:next w:val="ECHRPara"/>
    <w:uiPriority w:val="23"/>
    <w:qFormat/>
    <w:rsid w:val="007C6A77"/>
    <w:pPr>
      <w:keepNext/>
      <w:keepLines/>
      <w:tabs>
        <w:tab w:val="left" w:pos="1191"/>
      </w:tabs>
      <w:spacing w:before="240" w:after="120"/>
      <w:ind w:left="1190" w:hanging="357"/>
    </w:pPr>
    <w:rPr>
      <w:b w:val="0"/>
      <w:i/>
      <w:color w:val="auto"/>
      <w:sz w:val="20"/>
    </w:rPr>
  </w:style>
  <w:style w:type="character" w:customStyle="1" w:styleId="Balk2Char">
    <w:name w:val="Başlık 2 Char"/>
    <w:basedOn w:val="VarsaylanParagrafYazTipi"/>
    <w:link w:val="Balk2"/>
    <w:uiPriority w:val="99"/>
    <w:semiHidden/>
    <w:rsid w:val="0045649E"/>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Balk6"/>
    <w:next w:val="ECHRPara"/>
    <w:uiPriority w:val="24"/>
    <w:qFormat/>
    <w:rsid w:val="007C6A77"/>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Balk7"/>
    <w:next w:val="ECHRPara"/>
    <w:uiPriority w:val="25"/>
    <w:qFormat/>
    <w:rsid w:val="007C6A77"/>
    <w:pPr>
      <w:keepNext/>
      <w:keepLines/>
      <w:spacing w:before="240" w:after="120"/>
      <w:ind w:left="1236"/>
    </w:pPr>
    <w:rPr>
      <w:sz w:val="20"/>
    </w:rPr>
  </w:style>
  <w:style w:type="character" w:customStyle="1" w:styleId="Balk3Char">
    <w:name w:val="Başlık 3 Char"/>
    <w:basedOn w:val="VarsaylanParagrafYazTipi"/>
    <w:link w:val="Balk3"/>
    <w:uiPriority w:val="99"/>
    <w:semiHidden/>
    <w:rsid w:val="0045649E"/>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7C6A77"/>
    <w:pPr>
      <w:keepNext/>
      <w:keepLines/>
      <w:spacing w:before="240"/>
      <w:ind w:firstLine="284"/>
    </w:pPr>
  </w:style>
  <w:style w:type="paragraph" w:customStyle="1" w:styleId="ECHRDecisionBody">
    <w:name w:val="ECHR_Decision_Body"/>
    <w:aliases w:val="Ju_Judges"/>
    <w:basedOn w:val="Normal"/>
    <w:uiPriority w:val="11"/>
    <w:qFormat/>
    <w:rsid w:val="007C6A77"/>
    <w:pPr>
      <w:tabs>
        <w:tab w:val="left" w:pos="567"/>
        <w:tab w:val="left" w:pos="1134"/>
      </w:tabs>
      <w:jc w:val="left"/>
    </w:pPr>
  </w:style>
  <w:style w:type="character" w:customStyle="1" w:styleId="Balk4Char">
    <w:name w:val="Başlık 4 Char"/>
    <w:basedOn w:val="VarsaylanParagrafYazTipi"/>
    <w:link w:val="Balk4"/>
    <w:uiPriority w:val="99"/>
    <w:semiHidden/>
    <w:rsid w:val="0045649E"/>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7C6A77"/>
    <w:pPr>
      <w:ind w:left="340" w:hanging="340"/>
    </w:pPr>
  </w:style>
  <w:style w:type="character" w:customStyle="1" w:styleId="Balk5Char">
    <w:name w:val="Başlık 5 Char"/>
    <w:basedOn w:val="VarsaylanParagrafYazTipi"/>
    <w:link w:val="Balk5"/>
    <w:uiPriority w:val="99"/>
    <w:semiHidden/>
    <w:rsid w:val="007C6A77"/>
    <w:rPr>
      <w:rFonts w:asciiTheme="majorHAnsi" w:eastAsiaTheme="majorEastAsia" w:hAnsiTheme="majorHAnsi" w:cstheme="majorBidi"/>
      <w:b/>
      <w:bCs/>
      <w:color w:val="808080"/>
    </w:rPr>
  </w:style>
  <w:style w:type="paragraph" w:customStyle="1" w:styleId="JuLista">
    <w:name w:val="Ju_List_a"/>
    <w:basedOn w:val="JuList"/>
    <w:uiPriority w:val="28"/>
    <w:qFormat/>
    <w:rsid w:val="007C6A77"/>
    <w:pPr>
      <w:ind w:left="346" w:firstLine="0"/>
    </w:pPr>
  </w:style>
  <w:style w:type="character" w:customStyle="1" w:styleId="JUNAMES">
    <w:name w:val="JU_NAMES"/>
    <w:uiPriority w:val="17"/>
    <w:qFormat/>
    <w:rsid w:val="007C6A77"/>
    <w:rPr>
      <w:caps w:val="0"/>
      <w:smallCaps/>
    </w:rPr>
  </w:style>
  <w:style w:type="character" w:styleId="HafifVurgulama">
    <w:name w:val="Subtle Emphasis"/>
    <w:uiPriority w:val="99"/>
    <w:semiHidden/>
    <w:qFormat/>
    <w:rsid w:val="007C6A77"/>
    <w:rPr>
      <w:i/>
      <w:iCs/>
    </w:rPr>
  </w:style>
  <w:style w:type="paragraph" w:customStyle="1" w:styleId="OpiTranslation">
    <w:name w:val="Opi_Translation"/>
    <w:basedOn w:val="Normal"/>
    <w:next w:val="OpiPara"/>
    <w:uiPriority w:val="40"/>
    <w:qFormat/>
    <w:rsid w:val="007C6A77"/>
    <w:pPr>
      <w:jc w:val="center"/>
      <w:outlineLvl w:val="0"/>
    </w:pPr>
    <w:rPr>
      <w:i/>
    </w:rPr>
  </w:style>
  <w:style w:type="table" w:customStyle="1" w:styleId="ECHRTable">
    <w:name w:val="ECHR_Table"/>
    <w:basedOn w:val="NormalTablo"/>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ormalTablo"/>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Title">
    <w:name w:val="Dec_H_Title"/>
    <w:basedOn w:val="ECHRTitleCentre1"/>
    <w:uiPriority w:val="7"/>
    <w:semiHidden/>
    <w:qFormat/>
    <w:rsid w:val="007C6A77"/>
  </w:style>
  <w:style w:type="paragraph" w:customStyle="1" w:styleId="DecList">
    <w:name w:val="Dec_List"/>
    <w:basedOn w:val="Normal"/>
    <w:uiPriority w:val="9"/>
    <w:semiHidden/>
    <w:qFormat/>
    <w:rsid w:val="007C6A77"/>
    <w:pPr>
      <w:spacing w:before="240"/>
      <w:ind w:left="284"/>
    </w:pPr>
  </w:style>
  <w:style w:type="paragraph" w:customStyle="1" w:styleId="JuListi">
    <w:name w:val="Ju_List_i"/>
    <w:basedOn w:val="Normal"/>
    <w:next w:val="JuLista"/>
    <w:uiPriority w:val="28"/>
    <w:qFormat/>
    <w:rsid w:val="007C6A77"/>
    <w:pPr>
      <w:ind w:left="794"/>
    </w:pPr>
  </w:style>
  <w:style w:type="character" w:styleId="Vurgu">
    <w:name w:val="Emphasis"/>
    <w:uiPriority w:val="99"/>
    <w:semiHidden/>
    <w:qFormat/>
    <w:rsid w:val="007C6A77"/>
    <w:rPr>
      <w:b/>
      <w:bCs/>
      <w:i/>
      <w:iCs/>
      <w:spacing w:val="10"/>
      <w:bdr w:val="none" w:sz="0" w:space="0" w:color="auto"/>
      <w:shd w:val="clear" w:color="auto" w:fill="auto"/>
    </w:rPr>
  </w:style>
  <w:style w:type="paragraph" w:styleId="AltBilgi">
    <w:name w:val="footer"/>
    <w:basedOn w:val="Normal"/>
    <w:link w:val="AltBilgiChar"/>
    <w:uiPriority w:val="57"/>
    <w:semiHidden/>
    <w:rsid w:val="0045649E"/>
    <w:pPr>
      <w:tabs>
        <w:tab w:val="center" w:pos="4536"/>
        <w:tab w:val="right" w:pos="9696"/>
      </w:tabs>
      <w:ind w:left="-680" w:right="-680"/>
    </w:pPr>
    <w:rPr>
      <w:rFonts w:eastAsiaTheme="minorHAnsi"/>
    </w:rPr>
  </w:style>
  <w:style w:type="character" w:customStyle="1" w:styleId="AltBilgiChar">
    <w:name w:val="Alt Bilgi Char"/>
    <w:basedOn w:val="VarsaylanParagrafYazTipi"/>
    <w:link w:val="AltBilgi"/>
    <w:uiPriority w:val="57"/>
    <w:semiHidden/>
    <w:rsid w:val="0045649E"/>
    <w:rPr>
      <w:sz w:val="24"/>
    </w:rPr>
  </w:style>
  <w:style w:type="character" w:styleId="DipnotBavurusu">
    <w:name w:val="footnote reference"/>
    <w:aliases w:val="a Footnote Reference,FZ"/>
    <w:basedOn w:val="VarsaylanParagrafYazTipi"/>
    <w:uiPriority w:val="99"/>
    <w:semiHidden/>
    <w:rsid w:val="0045649E"/>
    <w:rPr>
      <w:vertAlign w:val="superscript"/>
    </w:rPr>
  </w:style>
  <w:style w:type="paragraph" w:styleId="DipnotMetni">
    <w:name w:val="footnote text"/>
    <w:aliases w:val="Footnote Text Char Char Char Char,FA,FA Fußnotentext,Note de bas de page Car Car,Car Car Car,Car Car Car Car Car,Car Car Car Car Car Car,Car Car Car Car,Footnote Text Char Car Car,Footnote Text Char Car"/>
    <w:basedOn w:val="Normal"/>
    <w:link w:val="DipnotMetniChar"/>
    <w:uiPriority w:val="99"/>
    <w:semiHidden/>
    <w:rsid w:val="0045649E"/>
    <w:rPr>
      <w:sz w:val="20"/>
      <w:szCs w:val="20"/>
    </w:rPr>
  </w:style>
  <w:style w:type="character" w:customStyle="1" w:styleId="DipnotMetniChar">
    <w:name w:val="Dipnot Metni Char"/>
    <w:aliases w:val="Footnote Text Char Char Char Char Char,FA Char,FA Fußnotentext Char,Note de bas de page Car Car Char,Car Car Car Char,Car Car Car Car Car Char,Car Car Car Car Car Car Char,Car Car Car Car Char,Footnote Text Char Car Car Char"/>
    <w:basedOn w:val="VarsaylanParagrafYazTipi"/>
    <w:link w:val="DipnotMetni"/>
    <w:uiPriority w:val="99"/>
    <w:rsid w:val="0045649E"/>
    <w:rPr>
      <w:rFonts w:eastAsiaTheme="minorEastAsia"/>
      <w:sz w:val="20"/>
      <w:szCs w:val="20"/>
    </w:rPr>
  </w:style>
  <w:style w:type="character" w:customStyle="1" w:styleId="Balk6Char">
    <w:name w:val="Başlık 6 Char"/>
    <w:basedOn w:val="VarsaylanParagrafYazTipi"/>
    <w:link w:val="Balk6"/>
    <w:uiPriority w:val="99"/>
    <w:semiHidden/>
    <w:rsid w:val="0045649E"/>
    <w:rPr>
      <w:rFonts w:asciiTheme="majorHAnsi" w:eastAsiaTheme="majorEastAsia" w:hAnsiTheme="majorHAnsi" w:cstheme="majorBidi"/>
      <w:b/>
      <w:bCs/>
      <w:i/>
      <w:iCs/>
      <w:color w:val="7F7F7F" w:themeColor="text1" w:themeTint="80"/>
      <w:sz w:val="24"/>
      <w:lang w:bidi="tr-TR"/>
    </w:rPr>
  </w:style>
  <w:style w:type="character" w:customStyle="1" w:styleId="Balk7Char">
    <w:name w:val="Başlık 7 Char"/>
    <w:basedOn w:val="VarsaylanParagrafYazTipi"/>
    <w:link w:val="Balk7"/>
    <w:uiPriority w:val="99"/>
    <w:semiHidden/>
    <w:rsid w:val="007C6A77"/>
    <w:rPr>
      <w:rFonts w:asciiTheme="majorHAnsi" w:eastAsiaTheme="majorEastAsia" w:hAnsiTheme="majorHAnsi" w:cstheme="majorBidi"/>
      <w:i/>
      <w:iCs/>
      <w:lang w:bidi="tr-TR"/>
    </w:rPr>
  </w:style>
  <w:style w:type="character" w:customStyle="1" w:styleId="Balk8Char">
    <w:name w:val="Başlık 8 Char"/>
    <w:basedOn w:val="VarsaylanParagrafYazTipi"/>
    <w:link w:val="Balk8"/>
    <w:uiPriority w:val="99"/>
    <w:semiHidden/>
    <w:rsid w:val="007C6A77"/>
    <w:rPr>
      <w:rFonts w:asciiTheme="majorHAnsi" w:eastAsiaTheme="majorEastAsia" w:hAnsiTheme="majorHAnsi" w:cstheme="majorBidi"/>
      <w:sz w:val="20"/>
      <w:szCs w:val="20"/>
      <w:lang w:bidi="tr-TR"/>
    </w:rPr>
  </w:style>
  <w:style w:type="character" w:customStyle="1" w:styleId="Balk9Char">
    <w:name w:val="Başlık 9 Char"/>
    <w:basedOn w:val="VarsaylanParagrafYazTipi"/>
    <w:link w:val="Balk9"/>
    <w:uiPriority w:val="99"/>
    <w:semiHidden/>
    <w:rsid w:val="007C6A77"/>
    <w:rPr>
      <w:rFonts w:asciiTheme="majorHAnsi" w:eastAsiaTheme="majorEastAsia" w:hAnsiTheme="majorHAnsi" w:cstheme="majorBidi"/>
      <w:i/>
      <w:iCs/>
      <w:spacing w:val="5"/>
      <w:sz w:val="20"/>
      <w:szCs w:val="20"/>
      <w:lang w:bidi="tr-TR"/>
    </w:rPr>
  </w:style>
  <w:style w:type="character" w:styleId="Kpr">
    <w:name w:val="Hyperlink"/>
    <w:basedOn w:val="VarsaylanParagrafYazTipi"/>
    <w:uiPriority w:val="99"/>
    <w:semiHidden/>
    <w:rsid w:val="0045649E"/>
    <w:rPr>
      <w:color w:val="0072BC" w:themeColor="hyperlink"/>
      <w:u w:val="single"/>
    </w:rPr>
  </w:style>
  <w:style w:type="character" w:styleId="GlVurgulama">
    <w:name w:val="Intense Emphasis"/>
    <w:uiPriority w:val="99"/>
    <w:semiHidden/>
    <w:qFormat/>
    <w:rsid w:val="007C6A77"/>
    <w:rPr>
      <w:b/>
      <w:bCs/>
    </w:rPr>
  </w:style>
  <w:style w:type="paragraph" w:styleId="GlAlnt">
    <w:name w:val="Intense Quote"/>
    <w:basedOn w:val="Normal"/>
    <w:next w:val="Normal"/>
    <w:link w:val="GlAlntChar"/>
    <w:uiPriority w:val="99"/>
    <w:semiHidden/>
    <w:qFormat/>
    <w:rsid w:val="007C6A77"/>
    <w:pPr>
      <w:pBdr>
        <w:bottom w:val="single" w:sz="4" w:space="1" w:color="auto"/>
      </w:pBdr>
      <w:spacing w:before="200" w:after="280"/>
      <w:ind w:left="1008" w:right="1152"/>
    </w:pPr>
    <w:rPr>
      <w:b/>
      <w:bCs/>
      <w:i/>
      <w:iCs/>
      <w:sz w:val="22"/>
    </w:rPr>
  </w:style>
  <w:style w:type="character" w:customStyle="1" w:styleId="GlAlntChar">
    <w:name w:val="Güçlü Alıntı Char"/>
    <w:basedOn w:val="VarsaylanParagrafYazTipi"/>
    <w:link w:val="GlAlnt"/>
    <w:uiPriority w:val="99"/>
    <w:semiHidden/>
    <w:rsid w:val="007C6A77"/>
    <w:rPr>
      <w:rFonts w:eastAsiaTheme="minorEastAsia"/>
      <w:b/>
      <w:bCs/>
      <w:i/>
      <w:iCs/>
      <w:lang w:bidi="tr-TR"/>
    </w:rPr>
  </w:style>
  <w:style w:type="character" w:styleId="GlBavuru">
    <w:name w:val="Intense Reference"/>
    <w:uiPriority w:val="99"/>
    <w:semiHidden/>
    <w:qFormat/>
    <w:rsid w:val="007C6A77"/>
    <w:rPr>
      <w:smallCaps/>
      <w:spacing w:val="5"/>
      <w:u w:val="single"/>
    </w:rPr>
  </w:style>
  <w:style w:type="paragraph" w:styleId="ListeParagraf">
    <w:name w:val="List Paragraph"/>
    <w:basedOn w:val="Normal"/>
    <w:uiPriority w:val="99"/>
    <w:semiHidden/>
    <w:qFormat/>
    <w:rsid w:val="007C6A77"/>
    <w:pPr>
      <w:ind w:left="720"/>
      <w:contextualSpacing/>
    </w:pPr>
  </w:style>
  <w:style w:type="table" w:customStyle="1" w:styleId="LtrTableAddress">
    <w:name w:val="Ltr_Table_Address"/>
    <w:basedOn w:val="NormalTablo"/>
    <w:uiPriority w:val="99"/>
    <w:rsid w:val="001E6F32"/>
    <w:tblPr>
      <w:tblInd w:w="5103" w:type="dxa"/>
    </w:tblPr>
  </w:style>
  <w:style w:type="paragraph" w:styleId="Alnt">
    <w:name w:val="Quote"/>
    <w:basedOn w:val="Normal"/>
    <w:next w:val="Normal"/>
    <w:link w:val="AlntChar"/>
    <w:uiPriority w:val="99"/>
    <w:semiHidden/>
    <w:qFormat/>
    <w:rsid w:val="007C6A77"/>
    <w:pPr>
      <w:spacing w:before="200"/>
      <w:ind w:left="360" w:right="360"/>
    </w:pPr>
    <w:rPr>
      <w:i/>
      <w:iCs/>
      <w:sz w:val="22"/>
    </w:rPr>
  </w:style>
  <w:style w:type="character" w:customStyle="1" w:styleId="AlntChar">
    <w:name w:val="Alıntı Char"/>
    <w:basedOn w:val="VarsaylanParagrafYazTipi"/>
    <w:link w:val="Alnt"/>
    <w:uiPriority w:val="99"/>
    <w:semiHidden/>
    <w:rsid w:val="007C6A77"/>
    <w:rPr>
      <w:rFonts w:eastAsiaTheme="minorEastAsia"/>
      <w:i/>
      <w:iCs/>
      <w:lang w:bidi="tr-TR"/>
    </w:rPr>
  </w:style>
  <w:style w:type="character" w:styleId="HafifBavuru">
    <w:name w:val="Subtle Reference"/>
    <w:uiPriority w:val="99"/>
    <w:semiHidden/>
    <w:qFormat/>
    <w:rsid w:val="007C6A77"/>
    <w:rPr>
      <w:smallCaps/>
    </w:rPr>
  </w:style>
  <w:style w:type="table" w:styleId="TabloKlavuzu">
    <w:name w:val="Table Grid"/>
    <w:basedOn w:val="NormalTablo"/>
    <w:uiPriority w:val="59"/>
    <w:semiHidden/>
    <w:rsid w:val="0045649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99"/>
    <w:semiHidden/>
    <w:rsid w:val="0045649E"/>
    <w:pPr>
      <w:keepNext/>
      <w:tabs>
        <w:tab w:val="right" w:leader="dot" w:pos="7371"/>
      </w:tabs>
      <w:spacing w:before="160" w:after="60" w:line="240" w:lineRule="exact"/>
      <w:ind w:left="340" w:right="567" w:hanging="340"/>
    </w:pPr>
    <w:rPr>
      <w:b/>
      <w:sz w:val="22"/>
    </w:rPr>
  </w:style>
  <w:style w:type="paragraph" w:styleId="T2">
    <w:name w:val="toc 2"/>
    <w:basedOn w:val="Normal"/>
    <w:next w:val="Normal"/>
    <w:autoRedefine/>
    <w:uiPriority w:val="99"/>
    <w:semiHidden/>
    <w:rsid w:val="0045649E"/>
    <w:pPr>
      <w:keepNext/>
      <w:tabs>
        <w:tab w:val="right" w:leader="dot" w:pos="7371"/>
      </w:tabs>
      <w:spacing w:after="60" w:line="240" w:lineRule="exact"/>
      <w:ind w:left="680" w:right="567" w:hanging="340"/>
    </w:pPr>
    <w:rPr>
      <w:sz w:val="22"/>
    </w:rPr>
  </w:style>
  <w:style w:type="paragraph" w:styleId="T3">
    <w:name w:val="toc 3"/>
    <w:basedOn w:val="Normal"/>
    <w:next w:val="Normal"/>
    <w:autoRedefine/>
    <w:uiPriority w:val="99"/>
    <w:semiHidden/>
    <w:rsid w:val="0045649E"/>
    <w:pPr>
      <w:keepNext/>
      <w:tabs>
        <w:tab w:val="right" w:leader="dot" w:pos="7371"/>
      </w:tabs>
      <w:spacing w:after="60" w:line="240" w:lineRule="exact"/>
      <w:ind w:left="1020" w:right="567" w:hanging="340"/>
    </w:pPr>
    <w:rPr>
      <w:sz w:val="20"/>
    </w:rPr>
  </w:style>
  <w:style w:type="paragraph" w:styleId="T4">
    <w:name w:val="toc 4"/>
    <w:basedOn w:val="Normal"/>
    <w:next w:val="Normal"/>
    <w:autoRedefine/>
    <w:uiPriority w:val="99"/>
    <w:semiHidden/>
    <w:rsid w:val="0045649E"/>
    <w:pPr>
      <w:tabs>
        <w:tab w:val="right" w:leader="dot" w:pos="7371"/>
      </w:tabs>
      <w:spacing w:after="60" w:line="240" w:lineRule="exact"/>
      <w:ind w:left="1361" w:right="567" w:hanging="340"/>
    </w:pPr>
    <w:rPr>
      <w:sz w:val="20"/>
    </w:rPr>
  </w:style>
  <w:style w:type="paragraph" w:styleId="T5">
    <w:name w:val="toc 5"/>
    <w:basedOn w:val="Normal"/>
    <w:next w:val="Normal"/>
    <w:autoRedefine/>
    <w:uiPriority w:val="99"/>
    <w:semiHidden/>
    <w:rsid w:val="0045649E"/>
    <w:pPr>
      <w:tabs>
        <w:tab w:val="right" w:leader="dot" w:pos="7371"/>
      </w:tabs>
      <w:spacing w:after="60" w:line="240" w:lineRule="exact"/>
      <w:ind w:left="1701" w:right="567" w:hanging="340"/>
    </w:pPr>
    <w:rPr>
      <w:sz w:val="20"/>
    </w:rPr>
  </w:style>
  <w:style w:type="paragraph" w:styleId="TBal">
    <w:name w:val="TOC Heading"/>
    <w:basedOn w:val="Normal"/>
    <w:next w:val="Normal"/>
    <w:uiPriority w:val="99"/>
    <w:semiHidden/>
    <w:qFormat/>
    <w:rsid w:val="007C6A7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NormalTablo"/>
    <w:uiPriority w:val="99"/>
    <w:rsid w:val="00572845"/>
    <w:rPr>
      <w:rFonts w:eastAsiaTheme="minorEastAsia"/>
      <w:sz w:val="20"/>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NormalTablo"/>
    <w:uiPriority w:val="99"/>
    <w:rsid w:val="003609FA"/>
    <w:rPr>
      <w:rFonts w:eastAsiaTheme="minorEastAsia"/>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NormalTablo"/>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NormalTablo"/>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NormalTablo"/>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NormalTablo"/>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KaynakaBal">
    <w:name w:val="toa heading"/>
    <w:basedOn w:val="Normal"/>
    <w:next w:val="Normal"/>
    <w:uiPriority w:val="99"/>
    <w:semiHidden/>
    <w:rsid w:val="0045649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Altyaz">
    <w:name w:val="Subtitle"/>
    <w:basedOn w:val="Normal"/>
    <w:next w:val="Normal"/>
    <w:link w:val="AltyazChar"/>
    <w:uiPriority w:val="99"/>
    <w:semiHidden/>
    <w:qFormat/>
    <w:rsid w:val="007C6A77"/>
    <w:pPr>
      <w:spacing w:after="600"/>
    </w:pPr>
    <w:rPr>
      <w:rFonts w:asciiTheme="majorHAnsi" w:eastAsiaTheme="majorEastAsia" w:hAnsiTheme="majorHAnsi" w:cstheme="majorBidi"/>
      <w:i/>
      <w:iCs/>
      <w:spacing w:val="13"/>
      <w:szCs w:val="24"/>
    </w:rPr>
  </w:style>
  <w:style w:type="character" w:customStyle="1" w:styleId="AltyazChar">
    <w:name w:val="Altyazı Char"/>
    <w:basedOn w:val="VarsaylanParagrafYazTipi"/>
    <w:link w:val="Altyaz"/>
    <w:uiPriority w:val="99"/>
    <w:semiHidden/>
    <w:rsid w:val="007C6A77"/>
    <w:rPr>
      <w:rFonts w:asciiTheme="majorHAnsi" w:eastAsiaTheme="majorEastAsia" w:hAnsiTheme="majorHAnsi" w:cstheme="majorBidi"/>
      <w:i/>
      <w:iCs/>
      <w:spacing w:val="13"/>
      <w:sz w:val="24"/>
      <w:szCs w:val="24"/>
      <w:lang w:bidi="tr-TR"/>
    </w:rPr>
  </w:style>
  <w:style w:type="numbering" w:styleId="111111">
    <w:name w:val="Outline List 2"/>
    <w:basedOn w:val="ListeYok"/>
    <w:uiPriority w:val="99"/>
    <w:semiHidden/>
    <w:unhideWhenUsed/>
    <w:rsid w:val="00DC4033"/>
    <w:pPr>
      <w:numPr>
        <w:numId w:val="9"/>
      </w:numPr>
    </w:pPr>
  </w:style>
  <w:style w:type="paragraph" w:customStyle="1" w:styleId="ECHRPara">
    <w:name w:val="ECHR_Para"/>
    <w:aliases w:val="Ju_Para,N_Para,Para,Left,First line:  0 cm"/>
    <w:basedOn w:val="Normal"/>
    <w:link w:val="ECHRParaChar"/>
    <w:uiPriority w:val="12"/>
    <w:qFormat/>
    <w:rsid w:val="007C6A77"/>
    <w:pPr>
      <w:ind w:firstLine="284"/>
    </w:pPr>
  </w:style>
  <w:style w:type="numbering" w:styleId="1ai">
    <w:name w:val="Outline List 1"/>
    <w:basedOn w:val="ListeYok"/>
    <w:uiPriority w:val="99"/>
    <w:semiHidden/>
    <w:unhideWhenUsed/>
    <w:rsid w:val="00DC4033"/>
    <w:pPr>
      <w:numPr>
        <w:numId w:val="10"/>
      </w:numPr>
    </w:pPr>
  </w:style>
  <w:style w:type="table" w:customStyle="1" w:styleId="ECHRTableSimpleBox">
    <w:name w:val="ECHR_Table_Simple_Box"/>
    <w:basedOn w:val="NormalTablo"/>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NormalTablo"/>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MakaleBlm">
    <w:name w:val="Outline List 3"/>
    <w:basedOn w:val="ListeYok"/>
    <w:uiPriority w:val="99"/>
    <w:semiHidden/>
    <w:unhideWhenUsed/>
    <w:rsid w:val="00DC4033"/>
    <w:pPr>
      <w:numPr>
        <w:numId w:val="11"/>
      </w:numPr>
    </w:pPr>
  </w:style>
  <w:style w:type="table" w:customStyle="1" w:styleId="ECHRTableForInternalUse">
    <w:name w:val="ECHR_Table_For_Internal_Use"/>
    <w:basedOn w:val="NormalTablo"/>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NormalTablo"/>
    <w:uiPriority w:val="99"/>
    <w:rsid w:val="0045649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Kaynaka">
    <w:name w:val="Bibliography"/>
    <w:basedOn w:val="Normal"/>
    <w:next w:val="Normal"/>
    <w:uiPriority w:val="99"/>
    <w:semiHidden/>
    <w:rsid w:val="00DC4033"/>
  </w:style>
  <w:style w:type="paragraph" w:styleId="bekMetni">
    <w:name w:val="Block Text"/>
    <w:basedOn w:val="Normal"/>
    <w:uiPriority w:val="99"/>
    <w:semiHidden/>
    <w:rsid w:val="00DC4033"/>
    <w:pPr>
      <w:pBdr>
        <w:top w:val="single" w:sz="2" w:space="10" w:color="0072BC" w:themeColor="accent1"/>
        <w:left w:val="single" w:sz="2" w:space="10" w:color="0072BC" w:themeColor="accent1"/>
        <w:bottom w:val="single" w:sz="2" w:space="10" w:color="0072BC" w:themeColor="accent1"/>
        <w:right w:val="single" w:sz="2" w:space="10" w:color="0072BC" w:themeColor="accent1"/>
      </w:pBdr>
      <w:ind w:left="1152" w:right="1152"/>
    </w:pPr>
    <w:rPr>
      <w:i/>
      <w:iCs/>
      <w:color w:val="0072BC" w:themeColor="accent1"/>
    </w:rPr>
  </w:style>
  <w:style w:type="table" w:customStyle="1" w:styleId="ECHRHeaderTable">
    <w:name w:val="ECHR_Header_Table"/>
    <w:basedOn w:val="NormalTablo"/>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GvdeMetni">
    <w:name w:val="Body Text"/>
    <w:basedOn w:val="Normal"/>
    <w:link w:val="GvdeMetniChar"/>
    <w:uiPriority w:val="99"/>
    <w:semiHidden/>
    <w:rsid w:val="00DC4033"/>
    <w:pPr>
      <w:spacing w:after="120"/>
    </w:pPr>
  </w:style>
  <w:style w:type="character" w:customStyle="1" w:styleId="GvdeMetniChar">
    <w:name w:val="Gövde Metni Char"/>
    <w:basedOn w:val="VarsaylanParagrafYazTipi"/>
    <w:link w:val="GvdeMetni"/>
    <w:uiPriority w:val="99"/>
    <w:semiHidden/>
    <w:rsid w:val="00DC4033"/>
    <w:rPr>
      <w:rFonts w:eastAsiaTheme="minorEastAsia"/>
      <w:sz w:val="24"/>
    </w:rPr>
  </w:style>
  <w:style w:type="table" w:customStyle="1" w:styleId="ECHRTableOddBanded">
    <w:name w:val="ECHR_Table_Odd_Banded"/>
    <w:basedOn w:val="NormalTablo"/>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GvdeMetni2">
    <w:name w:val="Body Text 2"/>
    <w:basedOn w:val="Normal"/>
    <w:link w:val="GvdeMetni2Char"/>
    <w:uiPriority w:val="99"/>
    <w:semiHidden/>
    <w:rsid w:val="00DC4033"/>
    <w:pPr>
      <w:spacing w:after="120" w:line="480" w:lineRule="auto"/>
    </w:pPr>
  </w:style>
  <w:style w:type="table" w:customStyle="1" w:styleId="ECHRHeaderTableReduced">
    <w:name w:val="ECHR_Header_Table_Reduced"/>
    <w:basedOn w:val="NormalTablo"/>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45649E"/>
    <w:pPr>
      <w:ind w:firstLine="284"/>
    </w:pPr>
    <w:rPr>
      <w:b/>
    </w:rPr>
  </w:style>
  <w:style w:type="character" w:styleId="SayfaNumaras">
    <w:name w:val="page number"/>
    <w:semiHidden/>
    <w:rsid w:val="00DC4033"/>
    <w:rPr>
      <w:sz w:val="18"/>
    </w:rPr>
  </w:style>
  <w:style w:type="paragraph" w:styleId="ListeMaddemi">
    <w:name w:val="List Bullet"/>
    <w:basedOn w:val="Normal"/>
    <w:semiHidden/>
    <w:rsid w:val="00DC4033"/>
    <w:pPr>
      <w:numPr>
        <w:numId w:val="8"/>
      </w:numPr>
    </w:pPr>
  </w:style>
  <w:style w:type="character" w:customStyle="1" w:styleId="GvdeMetni2Char">
    <w:name w:val="Gövde Metni 2 Char"/>
    <w:basedOn w:val="VarsaylanParagrafYazTipi"/>
    <w:link w:val="GvdeMetni2"/>
    <w:uiPriority w:val="99"/>
    <w:semiHidden/>
    <w:rsid w:val="00DC4033"/>
    <w:rPr>
      <w:rFonts w:eastAsiaTheme="minorEastAsia"/>
      <w:sz w:val="24"/>
    </w:rPr>
  </w:style>
  <w:style w:type="paragraph" w:styleId="GvdeMetni3">
    <w:name w:val="Body Text 3"/>
    <w:basedOn w:val="Normal"/>
    <w:link w:val="GvdeMetni3Char"/>
    <w:uiPriority w:val="99"/>
    <w:semiHidden/>
    <w:rsid w:val="00DC4033"/>
    <w:pPr>
      <w:spacing w:after="120"/>
    </w:pPr>
    <w:rPr>
      <w:sz w:val="16"/>
      <w:szCs w:val="16"/>
    </w:rPr>
  </w:style>
  <w:style w:type="character" w:customStyle="1" w:styleId="GvdeMetni3Char">
    <w:name w:val="Gövde Metni 3 Char"/>
    <w:basedOn w:val="VarsaylanParagrafYazTipi"/>
    <w:link w:val="GvdeMetni3"/>
    <w:uiPriority w:val="99"/>
    <w:semiHidden/>
    <w:rsid w:val="00DC4033"/>
    <w:rPr>
      <w:rFonts w:eastAsiaTheme="minorEastAsia"/>
      <w:sz w:val="16"/>
      <w:szCs w:val="16"/>
    </w:rPr>
  </w:style>
  <w:style w:type="paragraph" w:styleId="GvdeMetnilkGirintisi">
    <w:name w:val="Body Text First Indent"/>
    <w:basedOn w:val="GvdeMetni"/>
    <w:link w:val="GvdeMetnilkGirintisiChar"/>
    <w:uiPriority w:val="99"/>
    <w:semiHidden/>
    <w:rsid w:val="00DC4033"/>
    <w:pPr>
      <w:spacing w:after="0"/>
      <w:ind w:firstLine="360"/>
    </w:pPr>
  </w:style>
  <w:style w:type="character" w:customStyle="1" w:styleId="GvdeMetnilkGirintisiChar">
    <w:name w:val="Gövde Metni İlk Girintisi Char"/>
    <w:basedOn w:val="GvdeMetniChar"/>
    <w:link w:val="GvdeMetnilkGirintisi"/>
    <w:uiPriority w:val="99"/>
    <w:semiHidden/>
    <w:rsid w:val="00DC4033"/>
    <w:rPr>
      <w:rFonts w:eastAsiaTheme="minorEastAsia"/>
      <w:sz w:val="24"/>
    </w:rPr>
  </w:style>
  <w:style w:type="paragraph" w:styleId="GvdeMetniGirintisi">
    <w:name w:val="Body Text Indent"/>
    <w:basedOn w:val="Normal"/>
    <w:link w:val="GvdeMetniGirintisiChar"/>
    <w:uiPriority w:val="99"/>
    <w:semiHidden/>
    <w:rsid w:val="00DC4033"/>
    <w:pPr>
      <w:spacing w:after="120"/>
      <w:ind w:left="283"/>
    </w:pPr>
  </w:style>
  <w:style w:type="character" w:customStyle="1" w:styleId="GvdeMetniGirintisiChar">
    <w:name w:val="Gövde Metni Girintisi Char"/>
    <w:basedOn w:val="VarsaylanParagrafYazTipi"/>
    <w:link w:val="GvdeMetniGirintisi"/>
    <w:uiPriority w:val="99"/>
    <w:semiHidden/>
    <w:rsid w:val="00DC4033"/>
    <w:rPr>
      <w:rFonts w:eastAsiaTheme="minorEastAsia"/>
      <w:sz w:val="24"/>
    </w:rPr>
  </w:style>
  <w:style w:type="paragraph" w:styleId="GvdeMetnilkGirintisi2">
    <w:name w:val="Body Text First Indent 2"/>
    <w:basedOn w:val="GvdeMetniGirintisi"/>
    <w:link w:val="GvdeMetnilkGirintisi2Char"/>
    <w:uiPriority w:val="99"/>
    <w:semiHidden/>
    <w:rsid w:val="00DC4033"/>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DC4033"/>
    <w:rPr>
      <w:rFonts w:eastAsiaTheme="minorEastAsia"/>
      <w:sz w:val="24"/>
    </w:rPr>
  </w:style>
  <w:style w:type="paragraph" w:styleId="GvdeMetniGirintisi2">
    <w:name w:val="Body Text Indent 2"/>
    <w:basedOn w:val="Normal"/>
    <w:link w:val="GvdeMetniGirintisi2Char"/>
    <w:uiPriority w:val="99"/>
    <w:semiHidden/>
    <w:rsid w:val="00DC4033"/>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DC4033"/>
    <w:rPr>
      <w:rFonts w:eastAsiaTheme="minorEastAsia"/>
      <w:sz w:val="24"/>
    </w:rPr>
  </w:style>
  <w:style w:type="paragraph" w:styleId="GvdeMetniGirintisi3">
    <w:name w:val="Body Text Indent 3"/>
    <w:basedOn w:val="Normal"/>
    <w:link w:val="GvdeMetniGirintisi3Char"/>
    <w:uiPriority w:val="99"/>
    <w:semiHidden/>
    <w:rsid w:val="00DC4033"/>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C4033"/>
    <w:rPr>
      <w:rFonts w:eastAsiaTheme="minorEastAsia"/>
      <w:sz w:val="16"/>
      <w:szCs w:val="16"/>
    </w:rPr>
  </w:style>
  <w:style w:type="paragraph" w:styleId="ResimYazs">
    <w:name w:val="caption"/>
    <w:basedOn w:val="Normal"/>
    <w:next w:val="Normal"/>
    <w:uiPriority w:val="99"/>
    <w:semiHidden/>
    <w:qFormat/>
    <w:rsid w:val="00DC4033"/>
    <w:pPr>
      <w:spacing w:after="200"/>
    </w:pPr>
    <w:rPr>
      <w:b/>
      <w:bCs/>
      <w:color w:val="0072BC" w:themeColor="accent1"/>
      <w:sz w:val="18"/>
      <w:szCs w:val="18"/>
    </w:rPr>
  </w:style>
  <w:style w:type="paragraph" w:styleId="Kapan">
    <w:name w:val="Closing"/>
    <w:basedOn w:val="Normal"/>
    <w:link w:val="KapanChar"/>
    <w:uiPriority w:val="99"/>
    <w:semiHidden/>
    <w:rsid w:val="00DC4033"/>
    <w:pPr>
      <w:ind w:left="4252"/>
    </w:pPr>
  </w:style>
  <w:style w:type="character" w:customStyle="1" w:styleId="KapanChar">
    <w:name w:val="Kapanış Char"/>
    <w:basedOn w:val="VarsaylanParagrafYazTipi"/>
    <w:link w:val="Kapan"/>
    <w:uiPriority w:val="99"/>
    <w:semiHidden/>
    <w:rsid w:val="00DC4033"/>
    <w:rPr>
      <w:rFonts w:eastAsiaTheme="minorEastAsia"/>
      <w:sz w:val="24"/>
    </w:rPr>
  </w:style>
  <w:style w:type="table" w:styleId="RenkliKlavuz">
    <w:name w:val="Colorful Grid"/>
    <w:basedOn w:val="NormalTablo"/>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RenkliKlavuz-Vurgu2">
    <w:name w:val="Colorful Grid Accent 2"/>
    <w:basedOn w:val="NormalTablo"/>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RenkliKlavuz-Vurgu3">
    <w:name w:val="Colorful Grid Accent 3"/>
    <w:basedOn w:val="NormalTablo"/>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RenkliKlavuz-Vurgu4">
    <w:name w:val="Colorful Grid Accent 4"/>
    <w:basedOn w:val="NormalTablo"/>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RenkliKlavuz-Vurgu5">
    <w:name w:val="Colorful Grid Accent 5"/>
    <w:basedOn w:val="NormalTablo"/>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RenkliKlavuz-Vurgu6">
    <w:name w:val="Colorful Grid Accent 6"/>
    <w:basedOn w:val="NormalTablo"/>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RenkliListe">
    <w:name w:val="Colorful List"/>
    <w:basedOn w:val="NormalTablo"/>
    <w:uiPriority w:val="99"/>
    <w:semiHidden/>
    <w:rsid w:val="00DC403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99"/>
    <w:semiHidden/>
    <w:rsid w:val="00DC403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RenkliListe-Vurgu2">
    <w:name w:val="Colorful List Accent 2"/>
    <w:basedOn w:val="NormalTablo"/>
    <w:uiPriority w:val="99"/>
    <w:semiHidden/>
    <w:rsid w:val="00DC403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RenkliListe-Vurgu3">
    <w:name w:val="Colorful List Accent 3"/>
    <w:basedOn w:val="NormalTablo"/>
    <w:uiPriority w:val="99"/>
    <w:semiHidden/>
    <w:rsid w:val="00DC403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RenkliListe-Vurgu4">
    <w:name w:val="Colorful List Accent 4"/>
    <w:basedOn w:val="NormalTablo"/>
    <w:uiPriority w:val="99"/>
    <w:semiHidden/>
    <w:rsid w:val="00DC403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RenkliListe-Vurgu5">
    <w:name w:val="Colorful List Accent 5"/>
    <w:basedOn w:val="NormalTablo"/>
    <w:uiPriority w:val="99"/>
    <w:semiHidden/>
    <w:rsid w:val="00DC403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RenkliListe-Vurgu6">
    <w:name w:val="Colorful List Accent 6"/>
    <w:basedOn w:val="NormalTablo"/>
    <w:uiPriority w:val="99"/>
    <w:semiHidden/>
    <w:rsid w:val="00DC403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RenkliGlgeleme">
    <w:name w:val="Colorful Shading"/>
    <w:basedOn w:val="NormalTablo"/>
    <w:uiPriority w:val="99"/>
    <w:semiHidden/>
    <w:rsid w:val="00DC403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99"/>
    <w:semiHidden/>
    <w:rsid w:val="00DC403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99"/>
    <w:semiHidden/>
    <w:rsid w:val="00DC403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99"/>
    <w:semiHidden/>
    <w:rsid w:val="00DC403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RenkliGlgeleme-Vurgu4">
    <w:name w:val="Colorful Shading Accent 4"/>
    <w:basedOn w:val="NormalTablo"/>
    <w:uiPriority w:val="99"/>
    <w:semiHidden/>
    <w:rsid w:val="00DC403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99"/>
    <w:semiHidden/>
    <w:rsid w:val="00DC403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99"/>
    <w:semiHidden/>
    <w:rsid w:val="00DC403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semiHidden/>
    <w:rsid w:val="00DC4033"/>
    <w:rPr>
      <w:sz w:val="16"/>
      <w:szCs w:val="16"/>
    </w:rPr>
  </w:style>
  <w:style w:type="paragraph" w:styleId="AklamaMetni">
    <w:name w:val="annotation text"/>
    <w:basedOn w:val="Normal"/>
    <w:link w:val="AklamaMetniChar"/>
    <w:semiHidden/>
    <w:rsid w:val="00DC4033"/>
    <w:rPr>
      <w:sz w:val="20"/>
      <w:szCs w:val="20"/>
    </w:rPr>
  </w:style>
  <w:style w:type="character" w:customStyle="1" w:styleId="AklamaMetniChar">
    <w:name w:val="Açıklama Metni Char"/>
    <w:basedOn w:val="VarsaylanParagrafYazTipi"/>
    <w:link w:val="AklamaMetni"/>
    <w:semiHidden/>
    <w:rsid w:val="00DC4033"/>
    <w:rPr>
      <w:rFonts w:eastAsiaTheme="minorEastAsia"/>
      <w:sz w:val="20"/>
      <w:szCs w:val="20"/>
    </w:rPr>
  </w:style>
  <w:style w:type="paragraph" w:styleId="AklamaKonusu">
    <w:name w:val="annotation subject"/>
    <w:basedOn w:val="AklamaMetni"/>
    <w:next w:val="AklamaMetni"/>
    <w:link w:val="AklamaKonusuChar"/>
    <w:semiHidden/>
    <w:rsid w:val="00DC4033"/>
    <w:rPr>
      <w:b/>
      <w:bCs/>
    </w:rPr>
  </w:style>
  <w:style w:type="character" w:customStyle="1" w:styleId="AklamaKonusuChar">
    <w:name w:val="Açıklama Konusu Char"/>
    <w:basedOn w:val="AklamaMetniChar"/>
    <w:link w:val="AklamaKonusu"/>
    <w:semiHidden/>
    <w:rsid w:val="00DC4033"/>
    <w:rPr>
      <w:rFonts w:eastAsiaTheme="minorEastAsia"/>
      <w:b/>
      <w:bCs/>
      <w:sz w:val="20"/>
      <w:szCs w:val="20"/>
    </w:rPr>
  </w:style>
  <w:style w:type="table" w:styleId="KoyuListe">
    <w:name w:val="Dark List"/>
    <w:basedOn w:val="NormalTablo"/>
    <w:uiPriority w:val="99"/>
    <w:semiHidden/>
    <w:rsid w:val="00DC403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99"/>
    <w:semiHidden/>
    <w:rsid w:val="00DC403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KoyuListe-Vurgu2">
    <w:name w:val="Dark List Accent 2"/>
    <w:basedOn w:val="NormalTablo"/>
    <w:uiPriority w:val="99"/>
    <w:semiHidden/>
    <w:rsid w:val="00DC403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KoyuListe-Vurgu3">
    <w:name w:val="Dark List Accent 3"/>
    <w:basedOn w:val="NormalTablo"/>
    <w:uiPriority w:val="99"/>
    <w:semiHidden/>
    <w:rsid w:val="00DC403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KoyuListe-Vurgu4">
    <w:name w:val="Dark List Accent 4"/>
    <w:basedOn w:val="NormalTablo"/>
    <w:uiPriority w:val="99"/>
    <w:semiHidden/>
    <w:rsid w:val="00DC403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KoyuListe-Vurgu5">
    <w:name w:val="Dark List Accent 5"/>
    <w:basedOn w:val="NormalTablo"/>
    <w:uiPriority w:val="99"/>
    <w:semiHidden/>
    <w:rsid w:val="00DC403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KoyuListe-Vurgu6">
    <w:name w:val="Dark List Accent 6"/>
    <w:basedOn w:val="NormalTablo"/>
    <w:uiPriority w:val="99"/>
    <w:semiHidden/>
    <w:rsid w:val="00DC403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Tarih">
    <w:name w:val="Date"/>
    <w:basedOn w:val="Normal"/>
    <w:next w:val="Normal"/>
    <w:link w:val="TarihChar"/>
    <w:uiPriority w:val="99"/>
    <w:semiHidden/>
    <w:rsid w:val="00DC4033"/>
  </w:style>
  <w:style w:type="character" w:customStyle="1" w:styleId="TarihChar">
    <w:name w:val="Tarih Char"/>
    <w:basedOn w:val="VarsaylanParagrafYazTipi"/>
    <w:link w:val="Tarih"/>
    <w:uiPriority w:val="99"/>
    <w:semiHidden/>
    <w:rsid w:val="00DC4033"/>
    <w:rPr>
      <w:rFonts w:eastAsiaTheme="minorEastAsia"/>
      <w:sz w:val="24"/>
    </w:rPr>
  </w:style>
  <w:style w:type="paragraph" w:styleId="BelgeBalantlar">
    <w:name w:val="Document Map"/>
    <w:basedOn w:val="Normal"/>
    <w:link w:val="BelgeBalantlarChar"/>
    <w:semiHidden/>
    <w:rsid w:val="00DC4033"/>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C4033"/>
    <w:rPr>
      <w:rFonts w:ascii="Tahoma" w:eastAsiaTheme="minorEastAsia" w:hAnsi="Tahoma" w:cs="Tahoma"/>
      <w:sz w:val="16"/>
      <w:szCs w:val="16"/>
    </w:rPr>
  </w:style>
  <w:style w:type="paragraph" w:styleId="E-postamzas">
    <w:name w:val="E-mail Signature"/>
    <w:basedOn w:val="Normal"/>
    <w:link w:val="E-postamzasChar"/>
    <w:uiPriority w:val="99"/>
    <w:semiHidden/>
    <w:rsid w:val="00DC4033"/>
  </w:style>
  <w:style w:type="character" w:customStyle="1" w:styleId="E-postamzasChar">
    <w:name w:val="E-posta İmzası Char"/>
    <w:basedOn w:val="VarsaylanParagrafYazTipi"/>
    <w:link w:val="E-postamzas"/>
    <w:uiPriority w:val="99"/>
    <w:semiHidden/>
    <w:rsid w:val="00DC4033"/>
    <w:rPr>
      <w:rFonts w:eastAsiaTheme="minorEastAsia"/>
      <w:sz w:val="24"/>
    </w:rPr>
  </w:style>
  <w:style w:type="character" w:styleId="SonNotBavurusu">
    <w:name w:val="endnote reference"/>
    <w:basedOn w:val="VarsaylanParagrafYazTipi"/>
    <w:semiHidden/>
    <w:rsid w:val="00DC4033"/>
    <w:rPr>
      <w:vertAlign w:val="superscript"/>
    </w:rPr>
  </w:style>
  <w:style w:type="paragraph" w:styleId="SonNotMetni">
    <w:name w:val="endnote text"/>
    <w:basedOn w:val="Normal"/>
    <w:link w:val="SonNotMetniChar"/>
    <w:semiHidden/>
    <w:rsid w:val="00DC4033"/>
    <w:rPr>
      <w:sz w:val="20"/>
      <w:szCs w:val="20"/>
    </w:rPr>
  </w:style>
  <w:style w:type="character" w:customStyle="1" w:styleId="SonNotMetniChar">
    <w:name w:val="Son Not Metni Char"/>
    <w:basedOn w:val="VarsaylanParagrafYazTipi"/>
    <w:link w:val="SonNotMetni"/>
    <w:uiPriority w:val="99"/>
    <w:semiHidden/>
    <w:rsid w:val="00DC4033"/>
    <w:rPr>
      <w:rFonts w:eastAsiaTheme="minorEastAsia"/>
      <w:sz w:val="20"/>
      <w:szCs w:val="20"/>
    </w:rPr>
  </w:style>
  <w:style w:type="paragraph" w:styleId="MektupAdresi">
    <w:name w:val="envelope address"/>
    <w:basedOn w:val="Normal"/>
    <w:uiPriority w:val="99"/>
    <w:semiHidden/>
    <w:rsid w:val="00DC403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ZarfDn">
    <w:name w:val="envelope return"/>
    <w:basedOn w:val="Normal"/>
    <w:uiPriority w:val="99"/>
    <w:semiHidden/>
    <w:rsid w:val="00DC4033"/>
    <w:rPr>
      <w:rFonts w:asciiTheme="majorHAnsi" w:eastAsiaTheme="majorEastAsia" w:hAnsiTheme="majorHAnsi" w:cstheme="majorBidi"/>
      <w:sz w:val="20"/>
      <w:szCs w:val="20"/>
    </w:rPr>
  </w:style>
  <w:style w:type="character" w:styleId="zlenenKpr">
    <w:name w:val="FollowedHyperlink"/>
    <w:basedOn w:val="VarsaylanParagrafYazTipi"/>
    <w:semiHidden/>
    <w:rsid w:val="00DC4033"/>
    <w:rPr>
      <w:color w:val="7030A0" w:themeColor="followedHyperlink"/>
      <w:u w:val="single"/>
    </w:rPr>
  </w:style>
  <w:style w:type="character" w:styleId="HTMLKsaltmas">
    <w:name w:val="HTML Acronym"/>
    <w:basedOn w:val="VarsaylanParagrafYazTipi"/>
    <w:uiPriority w:val="99"/>
    <w:semiHidden/>
    <w:rsid w:val="00DC4033"/>
  </w:style>
  <w:style w:type="paragraph" w:styleId="HTMLAdresi">
    <w:name w:val="HTML Address"/>
    <w:basedOn w:val="Normal"/>
    <w:link w:val="HTMLAdresiChar"/>
    <w:uiPriority w:val="99"/>
    <w:semiHidden/>
    <w:rsid w:val="00DC4033"/>
    <w:rPr>
      <w:i/>
      <w:iCs/>
    </w:rPr>
  </w:style>
  <w:style w:type="character" w:customStyle="1" w:styleId="HTMLAdresiChar">
    <w:name w:val="HTML Adresi Char"/>
    <w:basedOn w:val="VarsaylanParagrafYazTipi"/>
    <w:link w:val="HTMLAdresi"/>
    <w:uiPriority w:val="99"/>
    <w:semiHidden/>
    <w:rsid w:val="00DC4033"/>
    <w:rPr>
      <w:rFonts w:eastAsiaTheme="minorEastAsia"/>
      <w:i/>
      <w:iCs/>
      <w:sz w:val="24"/>
    </w:rPr>
  </w:style>
  <w:style w:type="character" w:styleId="HTMLCite">
    <w:name w:val="HTML Cite"/>
    <w:basedOn w:val="VarsaylanParagrafYazTipi"/>
    <w:uiPriority w:val="99"/>
    <w:semiHidden/>
    <w:rsid w:val="00DC4033"/>
    <w:rPr>
      <w:i/>
      <w:iCs/>
    </w:rPr>
  </w:style>
  <w:style w:type="character" w:styleId="HTMLKodu">
    <w:name w:val="HTML Code"/>
    <w:basedOn w:val="VarsaylanParagrafYazTipi"/>
    <w:uiPriority w:val="99"/>
    <w:semiHidden/>
    <w:rsid w:val="00DC4033"/>
    <w:rPr>
      <w:rFonts w:ascii="Consolas" w:hAnsi="Consolas" w:cs="Consolas"/>
      <w:sz w:val="20"/>
      <w:szCs w:val="20"/>
    </w:rPr>
  </w:style>
  <w:style w:type="character" w:styleId="HTMLTanm">
    <w:name w:val="HTML Definition"/>
    <w:basedOn w:val="VarsaylanParagrafYazTipi"/>
    <w:uiPriority w:val="99"/>
    <w:semiHidden/>
    <w:rsid w:val="00DC4033"/>
    <w:rPr>
      <w:i/>
      <w:iCs/>
    </w:rPr>
  </w:style>
  <w:style w:type="character" w:styleId="HTMLKlavye">
    <w:name w:val="HTML Keyboard"/>
    <w:basedOn w:val="VarsaylanParagrafYazTipi"/>
    <w:uiPriority w:val="99"/>
    <w:semiHidden/>
    <w:rsid w:val="00DC4033"/>
    <w:rPr>
      <w:rFonts w:ascii="Consolas" w:hAnsi="Consolas" w:cs="Consolas"/>
      <w:sz w:val="20"/>
      <w:szCs w:val="20"/>
    </w:rPr>
  </w:style>
  <w:style w:type="paragraph" w:styleId="HTMLncedenBiimlendirilmi">
    <w:name w:val="HTML Preformatted"/>
    <w:basedOn w:val="Normal"/>
    <w:link w:val="HTMLncedenBiimlendirilmiChar"/>
    <w:uiPriority w:val="99"/>
    <w:semiHidden/>
    <w:rsid w:val="00DC4033"/>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DC4033"/>
    <w:rPr>
      <w:rFonts w:ascii="Consolas" w:eastAsiaTheme="minorEastAsia" w:hAnsi="Consolas" w:cs="Consolas"/>
      <w:sz w:val="20"/>
      <w:szCs w:val="20"/>
    </w:rPr>
  </w:style>
  <w:style w:type="character" w:styleId="HTMLrnek">
    <w:name w:val="HTML Sample"/>
    <w:basedOn w:val="VarsaylanParagrafYazTipi"/>
    <w:uiPriority w:val="99"/>
    <w:semiHidden/>
    <w:rsid w:val="00DC4033"/>
    <w:rPr>
      <w:rFonts w:ascii="Consolas" w:hAnsi="Consolas" w:cs="Consolas"/>
      <w:sz w:val="24"/>
      <w:szCs w:val="24"/>
    </w:rPr>
  </w:style>
  <w:style w:type="character" w:styleId="HTMLDaktilo">
    <w:name w:val="HTML Typewriter"/>
    <w:basedOn w:val="VarsaylanParagrafYazTipi"/>
    <w:uiPriority w:val="99"/>
    <w:semiHidden/>
    <w:rsid w:val="00DC4033"/>
    <w:rPr>
      <w:rFonts w:ascii="Consolas" w:hAnsi="Consolas" w:cs="Consolas"/>
      <w:sz w:val="20"/>
      <w:szCs w:val="20"/>
    </w:rPr>
  </w:style>
  <w:style w:type="character" w:styleId="HTMLDeiken">
    <w:name w:val="HTML Variable"/>
    <w:basedOn w:val="VarsaylanParagrafYazTipi"/>
    <w:uiPriority w:val="99"/>
    <w:semiHidden/>
    <w:rsid w:val="00DC4033"/>
    <w:rPr>
      <w:i/>
      <w:iCs/>
    </w:rPr>
  </w:style>
  <w:style w:type="paragraph" w:styleId="Dizin1">
    <w:name w:val="index 1"/>
    <w:basedOn w:val="Normal"/>
    <w:next w:val="Normal"/>
    <w:autoRedefine/>
    <w:uiPriority w:val="99"/>
    <w:semiHidden/>
    <w:rsid w:val="00DC4033"/>
    <w:pPr>
      <w:ind w:left="240" w:hanging="240"/>
    </w:pPr>
  </w:style>
  <w:style w:type="paragraph" w:styleId="Dizin2">
    <w:name w:val="index 2"/>
    <w:basedOn w:val="Normal"/>
    <w:next w:val="Normal"/>
    <w:autoRedefine/>
    <w:uiPriority w:val="99"/>
    <w:semiHidden/>
    <w:rsid w:val="00DC4033"/>
    <w:pPr>
      <w:ind w:left="480" w:hanging="240"/>
    </w:pPr>
  </w:style>
  <w:style w:type="paragraph" w:styleId="Dizin3">
    <w:name w:val="index 3"/>
    <w:basedOn w:val="Normal"/>
    <w:next w:val="Normal"/>
    <w:autoRedefine/>
    <w:uiPriority w:val="99"/>
    <w:semiHidden/>
    <w:rsid w:val="00DC4033"/>
    <w:pPr>
      <w:ind w:left="720" w:hanging="240"/>
    </w:pPr>
  </w:style>
  <w:style w:type="paragraph" w:styleId="Dizin4">
    <w:name w:val="index 4"/>
    <w:basedOn w:val="Normal"/>
    <w:next w:val="Normal"/>
    <w:autoRedefine/>
    <w:uiPriority w:val="99"/>
    <w:semiHidden/>
    <w:rsid w:val="00DC4033"/>
    <w:pPr>
      <w:ind w:left="960" w:hanging="240"/>
    </w:pPr>
  </w:style>
  <w:style w:type="paragraph" w:styleId="Dizin5">
    <w:name w:val="index 5"/>
    <w:basedOn w:val="Normal"/>
    <w:next w:val="Normal"/>
    <w:autoRedefine/>
    <w:uiPriority w:val="99"/>
    <w:semiHidden/>
    <w:rsid w:val="00DC4033"/>
    <w:pPr>
      <w:ind w:left="1200" w:hanging="240"/>
    </w:pPr>
  </w:style>
  <w:style w:type="paragraph" w:styleId="Dizin6">
    <w:name w:val="index 6"/>
    <w:basedOn w:val="Normal"/>
    <w:next w:val="Normal"/>
    <w:autoRedefine/>
    <w:uiPriority w:val="99"/>
    <w:semiHidden/>
    <w:rsid w:val="00DC4033"/>
    <w:pPr>
      <w:ind w:left="1440" w:hanging="240"/>
    </w:pPr>
  </w:style>
  <w:style w:type="paragraph" w:styleId="Dizin7">
    <w:name w:val="index 7"/>
    <w:basedOn w:val="Normal"/>
    <w:next w:val="Normal"/>
    <w:autoRedefine/>
    <w:uiPriority w:val="99"/>
    <w:semiHidden/>
    <w:rsid w:val="00DC4033"/>
    <w:pPr>
      <w:ind w:left="1680" w:hanging="240"/>
    </w:pPr>
  </w:style>
  <w:style w:type="paragraph" w:styleId="Dizin8">
    <w:name w:val="index 8"/>
    <w:basedOn w:val="Normal"/>
    <w:next w:val="Normal"/>
    <w:autoRedefine/>
    <w:uiPriority w:val="99"/>
    <w:semiHidden/>
    <w:rsid w:val="00DC4033"/>
    <w:pPr>
      <w:ind w:left="1920" w:hanging="240"/>
    </w:pPr>
  </w:style>
  <w:style w:type="paragraph" w:styleId="Dizin9">
    <w:name w:val="index 9"/>
    <w:basedOn w:val="Normal"/>
    <w:next w:val="Normal"/>
    <w:autoRedefine/>
    <w:uiPriority w:val="99"/>
    <w:semiHidden/>
    <w:rsid w:val="00DC4033"/>
    <w:pPr>
      <w:ind w:left="2160" w:hanging="240"/>
    </w:pPr>
  </w:style>
  <w:style w:type="paragraph" w:styleId="DizinBal">
    <w:name w:val="index heading"/>
    <w:basedOn w:val="Normal"/>
    <w:next w:val="Dizin1"/>
    <w:uiPriority w:val="99"/>
    <w:semiHidden/>
    <w:rsid w:val="00DC4033"/>
    <w:rPr>
      <w:rFonts w:asciiTheme="majorHAnsi" w:eastAsiaTheme="majorEastAsia" w:hAnsiTheme="majorHAnsi" w:cstheme="majorBidi"/>
      <w:b/>
      <w:bCs/>
    </w:rPr>
  </w:style>
  <w:style w:type="table" w:styleId="AkKlavuz">
    <w:name w:val="Light Grid"/>
    <w:basedOn w:val="NormalTablo"/>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AkKlavuz-Vurgu2">
    <w:name w:val="Light Grid Accent 2"/>
    <w:basedOn w:val="NormalTablo"/>
    <w:uiPriority w:val="99"/>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AkKlavuz-Vurgu3">
    <w:name w:val="Light Grid Accent 3"/>
    <w:basedOn w:val="NormalTablo"/>
    <w:uiPriority w:val="99"/>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AkKlavuz-Vurgu4">
    <w:name w:val="Light Grid Accent 4"/>
    <w:basedOn w:val="NormalTablo"/>
    <w:uiPriority w:val="99"/>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AkKlavuz-Vurgu5">
    <w:name w:val="Light Grid Accent 5"/>
    <w:basedOn w:val="NormalTablo"/>
    <w:uiPriority w:val="99"/>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AkKlavuz-Vurgu6">
    <w:name w:val="Light Grid Accent 6"/>
    <w:basedOn w:val="NormalTablo"/>
    <w:uiPriority w:val="99"/>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kListe">
    <w:name w:val="Light List"/>
    <w:basedOn w:val="NormalTablo"/>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AkListe-Vurgu2">
    <w:name w:val="Light List Accent 2"/>
    <w:basedOn w:val="NormalTablo"/>
    <w:uiPriority w:val="99"/>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AkListe-Vurgu3">
    <w:name w:val="Light List Accent 3"/>
    <w:basedOn w:val="NormalTablo"/>
    <w:uiPriority w:val="99"/>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AkListe-Vurgu4">
    <w:name w:val="Light List Accent 4"/>
    <w:basedOn w:val="NormalTablo"/>
    <w:uiPriority w:val="99"/>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AkListe-Vurgu5">
    <w:name w:val="Light List Accent 5"/>
    <w:basedOn w:val="NormalTablo"/>
    <w:uiPriority w:val="99"/>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AkListe-Vurgu6">
    <w:name w:val="Light List Accent 6"/>
    <w:basedOn w:val="NormalTablo"/>
    <w:uiPriority w:val="99"/>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kGlgeleme">
    <w:name w:val="Light Shading"/>
    <w:basedOn w:val="NormalTablo"/>
    <w:uiPriority w:val="99"/>
    <w:semiHidden/>
    <w:rsid w:val="00DC40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99"/>
    <w:semiHidden/>
    <w:rsid w:val="00DC403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AkGlgeleme-Vurgu2">
    <w:name w:val="Light Shading Accent 2"/>
    <w:basedOn w:val="NormalTablo"/>
    <w:uiPriority w:val="99"/>
    <w:semiHidden/>
    <w:rsid w:val="00DC403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AkGlgeleme-Vurgu3">
    <w:name w:val="Light Shading Accent 3"/>
    <w:basedOn w:val="NormalTablo"/>
    <w:uiPriority w:val="99"/>
    <w:semiHidden/>
    <w:rsid w:val="00DC403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AkGlgeleme-Vurgu4">
    <w:name w:val="Light Shading Accent 4"/>
    <w:basedOn w:val="NormalTablo"/>
    <w:uiPriority w:val="99"/>
    <w:semiHidden/>
    <w:rsid w:val="00DC403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AkGlgeleme-Vurgu5">
    <w:name w:val="Light Shading Accent 5"/>
    <w:basedOn w:val="NormalTablo"/>
    <w:uiPriority w:val="99"/>
    <w:semiHidden/>
    <w:rsid w:val="00DC403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AkGlgeleme-Vurgu6">
    <w:name w:val="Light Shading Accent 6"/>
    <w:basedOn w:val="NormalTablo"/>
    <w:uiPriority w:val="99"/>
    <w:semiHidden/>
    <w:rsid w:val="00DC403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SatrNumaras">
    <w:name w:val="line number"/>
    <w:basedOn w:val="VarsaylanParagrafYazTipi"/>
    <w:uiPriority w:val="99"/>
    <w:semiHidden/>
    <w:rsid w:val="00DC4033"/>
  </w:style>
  <w:style w:type="paragraph" w:styleId="Liste">
    <w:name w:val="List"/>
    <w:basedOn w:val="Normal"/>
    <w:uiPriority w:val="99"/>
    <w:semiHidden/>
    <w:rsid w:val="00DC4033"/>
    <w:pPr>
      <w:ind w:left="283" w:hanging="283"/>
      <w:contextualSpacing/>
    </w:pPr>
  </w:style>
  <w:style w:type="paragraph" w:styleId="Liste2">
    <w:name w:val="List 2"/>
    <w:basedOn w:val="Normal"/>
    <w:uiPriority w:val="99"/>
    <w:semiHidden/>
    <w:rsid w:val="00DC4033"/>
    <w:pPr>
      <w:ind w:left="566" w:hanging="283"/>
      <w:contextualSpacing/>
    </w:pPr>
  </w:style>
  <w:style w:type="paragraph" w:styleId="Liste3">
    <w:name w:val="List 3"/>
    <w:basedOn w:val="Normal"/>
    <w:uiPriority w:val="99"/>
    <w:semiHidden/>
    <w:rsid w:val="00DC4033"/>
    <w:pPr>
      <w:ind w:left="849" w:hanging="283"/>
      <w:contextualSpacing/>
    </w:pPr>
  </w:style>
  <w:style w:type="paragraph" w:styleId="Liste4">
    <w:name w:val="List 4"/>
    <w:basedOn w:val="Normal"/>
    <w:uiPriority w:val="99"/>
    <w:semiHidden/>
    <w:rsid w:val="00DC4033"/>
    <w:pPr>
      <w:ind w:left="1132" w:hanging="283"/>
      <w:contextualSpacing/>
    </w:pPr>
  </w:style>
  <w:style w:type="paragraph" w:styleId="Liste5">
    <w:name w:val="List 5"/>
    <w:basedOn w:val="Normal"/>
    <w:uiPriority w:val="99"/>
    <w:semiHidden/>
    <w:rsid w:val="00DC4033"/>
    <w:pPr>
      <w:ind w:left="1415" w:hanging="283"/>
      <w:contextualSpacing/>
    </w:pPr>
  </w:style>
  <w:style w:type="paragraph" w:styleId="ListeMaddemi2">
    <w:name w:val="List Bullet 2"/>
    <w:basedOn w:val="Normal"/>
    <w:uiPriority w:val="99"/>
    <w:semiHidden/>
    <w:rsid w:val="00DC4033"/>
    <w:pPr>
      <w:numPr>
        <w:numId w:val="12"/>
      </w:numPr>
      <w:contextualSpacing/>
    </w:pPr>
  </w:style>
  <w:style w:type="paragraph" w:styleId="ListeMaddemi3">
    <w:name w:val="List Bullet 3"/>
    <w:basedOn w:val="Normal"/>
    <w:uiPriority w:val="99"/>
    <w:semiHidden/>
    <w:rsid w:val="00DC4033"/>
    <w:pPr>
      <w:numPr>
        <w:numId w:val="13"/>
      </w:numPr>
      <w:contextualSpacing/>
    </w:pPr>
  </w:style>
  <w:style w:type="paragraph" w:styleId="ListeMaddemi4">
    <w:name w:val="List Bullet 4"/>
    <w:basedOn w:val="Normal"/>
    <w:uiPriority w:val="99"/>
    <w:semiHidden/>
    <w:rsid w:val="00DC4033"/>
    <w:pPr>
      <w:numPr>
        <w:numId w:val="14"/>
      </w:numPr>
      <w:contextualSpacing/>
    </w:pPr>
  </w:style>
  <w:style w:type="paragraph" w:styleId="ListeMaddemi5">
    <w:name w:val="List Bullet 5"/>
    <w:basedOn w:val="Normal"/>
    <w:uiPriority w:val="99"/>
    <w:semiHidden/>
    <w:rsid w:val="00DC4033"/>
    <w:pPr>
      <w:numPr>
        <w:numId w:val="15"/>
      </w:numPr>
      <w:contextualSpacing/>
    </w:pPr>
  </w:style>
  <w:style w:type="paragraph" w:styleId="ListeDevam">
    <w:name w:val="List Continue"/>
    <w:basedOn w:val="Normal"/>
    <w:uiPriority w:val="99"/>
    <w:semiHidden/>
    <w:rsid w:val="00DC4033"/>
    <w:pPr>
      <w:spacing w:after="120"/>
      <w:ind w:left="283"/>
      <w:contextualSpacing/>
    </w:pPr>
  </w:style>
  <w:style w:type="paragraph" w:styleId="ListeDevam2">
    <w:name w:val="List Continue 2"/>
    <w:basedOn w:val="Normal"/>
    <w:uiPriority w:val="99"/>
    <w:semiHidden/>
    <w:rsid w:val="00DC4033"/>
    <w:pPr>
      <w:spacing w:after="120"/>
      <w:ind w:left="566"/>
      <w:contextualSpacing/>
    </w:pPr>
  </w:style>
  <w:style w:type="paragraph" w:styleId="ListeDevam3">
    <w:name w:val="List Continue 3"/>
    <w:basedOn w:val="Normal"/>
    <w:uiPriority w:val="99"/>
    <w:semiHidden/>
    <w:rsid w:val="00DC4033"/>
    <w:pPr>
      <w:spacing w:after="120"/>
      <w:ind w:left="849"/>
      <w:contextualSpacing/>
    </w:pPr>
  </w:style>
  <w:style w:type="paragraph" w:styleId="ListeDevam4">
    <w:name w:val="List Continue 4"/>
    <w:basedOn w:val="Normal"/>
    <w:uiPriority w:val="99"/>
    <w:semiHidden/>
    <w:rsid w:val="00DC4033"/>
    <w:pPr>
      <w:spacing w:after="120"/>
      <w:ind w:left="1132"/>
      <w:contextualSpacing/>
    </w:pPr>
  </w:style>
  <w:style w:type="paragraph" w:styleId="ListeDevam5">
    <w:name w:val="List Continue 5"/>
    <w:basedOn w:val="Normal"/>
    <w:uiPriority w:val="99"/>
    <w:semiHidden/>
    <w:rsid w:val="00DC4033"/>
    <w:pPr>
      <w:spacing w:after="120"/>
      <w:ind w:left="1415"/>
      <w:contextualSpacing/>
    </w:pPr>
  </w:style>
  <w:style w:type="paragraph" w:styleId="ListeNumaras">
    <w:name w:val="List Number"/>
    <w:basedOn w:val="Normal"/>
    <w:uiPriority w:val="99"/>
    <w:semiHidden/>
    <w:rsid w:val="00DC4033"/>
    <w:pPr>
      <w:numPr>
        <w:numId w:val="16"/>
      </w:numPr>
      <w:contextualSpacing/>
    </w:pPr>
  </w:style>
  <w:style w:type="paragraph" w:styleId="ListeNumaras2">
    <w:name w:val="List Number 2"/>
    <w:basedOn w:val="Normal"/>
    <w:uiPriority w:val="99"/>
    <w:semiHidden/>
    <w:rsid w:val="00DC4033"/>
    <w:pPr>
      <w:numPr>
        <w:numId w:val="17"/>
      </w:numPr>
      <w:contextualSpacing/>
    </w:pPr>
  </w:style>
  <w:style w:type="paragraph" w:styleId="ListeNumaras3">
    <w:name w:val="List Number 3"/>
    <w:basedOn w:val="Normal"/>
    <w:uiPriority w:val="99"/>
    <w:semiHidden/>
    <w:rsid w:val="00DC4033"/>
    <w:pPr>
      <w:numPr>
        <w:numId w:val="18"/>
      </w:numPr>
      <w:contextualSpacing/>
    </w:pPr>
  </w:style>
  <w:style w:type="paragraph" w:styleId="ListeNumaras4">
    <w:name w:val="List Number 4"/>
    <w:basedOn w:val="Normal"/>
    <w:uiPriority w:val="99"/>
    <w:semiHidden/>
    <w:rsid w:val="00DC4033"/>
    <w:pPr>
      <w:numPr>
        <w:numId w:val="19"/>
      </w:numPr>
      <w:contextualSpacing/>
    </w:pPr>
  </w:style>
  <w:style w:type="paragraph" w:styleId="ListeNumaras5">
    <w:name w:val="List Number 5"/>
    <w:basedOn w:val="Normal"/>
    <w:uiPriority w:val="99"/>
    <w:semiHidden/>
    <w:rsid w:val="00DC4033"/>
    <w:pPr>
      <w:numPr>
        <w:numId w:val="20"/>
      </w:numPr>
      <w:contextualSpacing/>
    </w:pPr>
  </w:style>
  <w:style w:type="paragraph" w:styleId="MakroMetni">
    <w:name w:val="macro"/>
    <w:link w:val="MakroMetniChar"/>
    <w:uiPriority w:val="99"/>
    <w:semiHidden/>
    <w:rsid w:val="00DC40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kroMetniChar">
    <w:name w:val="Makro Metni Char"/>
    <w:basedOn w:val="VarsaylanParagrafYazTipi"/>
    <w:link w:val="MakroMetni"/>
    <w:uiPriority w:val="99"/>
    <w:semiHidden/>
    <w:rsid w:val="00DC4033"/>
    <w:rPr>
      <w:rFonts w:ascii="Consolas" w:eastAsiaTheme="minorEastAsia" w:hAnsi="Consolas" w:cs="Consolas"/>
      <w:sz w:val="20"/>
      <w:szCs w:val="20"/>
    </w:rPr>
  </w:style>
  <w:style w:type="table" w:styleId="OrtaKlavuz1">
    <w:name w:val="Medium Grid 1"/>
    <w:basedOn w:val="NormalTablo"/>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OrtaKlavuz1-Vurgu2">
    <w:name w:val="Medium Grid 1 Accent 2"/>
    <w:basedOn w:val="NormalTablo"/>
    <w:uiPriority w:val="99"/>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OrtaKlavuz1-Vurgu3">
    <w:name w:val="Medium Grid 1 Accent 3"/>
    <w:basedOn w:val="NormalTablo"/>
    <w:uiPriority w:val="99"/>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OrtaKlavuz1-Vurgu4">
    <w:name w:val="Medium Grid 1 Accent 4"/>
    <w:basedOn w:val="NormalTablo"/>
    <w:uiPriority w:val="99"/>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OrtaKlavuz1-Vurgu5">
    <w:name w:val="Medium Grid 1 Accent 5"/>
    <w:basedOn w:val="NormalTablo"/>
    <w:uiPriority w:val="99"/>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OrtaKlavuz1-Vurgu6">
    <w:name w:val="Medium Grid 1 Accent 6"/>
    <w:basedOn w:val="NormalTablo"/>
    <w:uiPriority w:val="99"/>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OrtaKlavuz2">
    <w:name w:val="Medium Grid 2"/>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OrtaKlavuz2-Vurgu1">
    <w:name w:val="Medium Grid 2 Accent 1"/>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OrtaKlavuz2-Vurgu2">
    <w:name w:val="Medium Grid 2 Accent 2"/>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OrtaKlavuz2-Vurgu3">
    <w:name w:val="Medium Grid 2 Accent 3"/>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OrtaKlavuz2-Vurgu4">
    <w:name w:val="Medium Grid 2 Accent 4"/>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OrtaKlavuz2-Vurgu5">
    <w:name w:val="Medium Grid 2 Accent 5"/>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OrtaKlavuz2-Vurgu6">
    <w:name w:val="Medium Grid 2 Accent 6"/>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OrtaKlavuz3">
    <w:name w:val="Medium Grid 3"/>
    <w:basedOn w:val="NormalTablo"/>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OrtaKlavuz3-Vurgu1">
    <w:name w:val="Medium Grid 3 Accent 1"/>
    <w:basedOn w:val="NormalTablo"/>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OrtaKlavuz3-Vurgu2">
    <w:name w:val="Medium Grid 3 Accent 2"/>
    <w:basedOn w:val="NormalTablo"/>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OrtaKlavuz3-Vurgu3">
    <w:name w:val="Medium Grid 3 Accent 3"/>
    <w:basedOn w:val="NormalTablo"/>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OrtaKlavuz3-Vurgu4">
    <w:name w:val="Medium Grid 3 Accent 4"/>
    <w:basedOn w:val="NormalTablo"/>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OrtaKlavuz3-Vurgu5">
    <w:name w:val="Medium Grid 3 Accent 5"/>
    <w:basedOn w:val="NormalTablo"/>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OrtaKlavuz3-Vurgu6">
    <w:name w:val="Medium Grid 3 Accent 6"/>
    <w:basedOn w:val="NormalTablo"/>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OrtaListe1">
    <w:name w:val="Medium List 1"/>
    <w:basedOn w:val="NormalTablo"/>
    <w:uiPriority w:val="99"/>
    <w:semiHidden/>
    <w:rsid w:val="00DC403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99"/>
    <w:semiHidden/>
    <w:rsid w:val="00DC403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OrtaListe1-Vurgu2">
    <w:name w:val="Medium List 1 Accent 2"/>
    <w:basedOn w:val="NormalTablo"/>
    <w:uiPriority w:val="99"/>
    <w:semiHidden/>
    <w:rsid w:val="00DC403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OrtaListe1-Vurgu3">
    <w:name w:val="Medium List 1 Accent 3"/>
    <w:basedOn w:val="NormalTablo"/>
    <w:uiPriority w:val="99"/>
    <w:semiHidden/>
    <w:rsid w:val="00DC403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OrtaListe1-Vurgu4">
    <w:name w:val="Medium List 1 Accent 4"/>
    <w:basedOn w:val="NormalTablo"/>
    <w:uiPriority w:val="99"/>
    <w:semiHidden/>
    <w:rsid w:val="00DC403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OrtaListe1-Vurgu5">
    <w:name w:val="Medium List 1 Accent 5"/>
    <w:basedOn w:val="NormalTablo"/>
    <w:uiPriority w:val="99"/>
    <w:semiHidden/>
    <w:rsid w:val="00DC403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OrtaListe1-Vurgu6">
    <w:name w:val="Medium List 1 Accent 6"/>
    <w:basedOn w:val="NormalTablo"/>
    <w:uiPriority w:val="99"/>
    <w:semiHidden/>
    <w:rsid w:val="00DC403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OrtaListe2">
    <w:name w:val="Medium List 2"/>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2-Vurgu1">
    <w:name w:val="Medium List 2 Accent 1"/>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2">
    <w:name w:val="Medium List 2 Accent 2"/>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3">
    <w:name w:val="Medium List 2 Accent 3"/>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4">
    <w:name w:val="Medium List 2 Accent 4"/>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5">
    <w:name w:val="Medium List 2 Accent 5"/>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OrtaListe2-Vurgu6">
    <w:name w:val="Medium List 2 Accent 6"/>
    <w:basedOn w:val="NormalTablo"/>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OrtaGlgeleme1">
    <w:name w:val="Medium Shading 1"/>
    <w:basedOn w:val="NormalTablo"/>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99"/>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99"/>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99"/>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99"/>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99"/>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letistBilgisi">
    <w:name w:val="Message Header"/>
    <w:basedOn w:val="Normal"/>
    <w:link w:val="letistBilgisiChar"/>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letistBilgisiChar">
    <w:name w:val="İleti Üst Bilgisi Char"/>
    <w:basedOn w:val="VarsaylanParagrafYazTipi"/>
    <w:link w:val="letistBilgisi"/>
    <w:uiPriority w:val="99"/>
    <w:semiHidden/>
    <w:rsid w:val="00DC403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DC4033"/>
    <w:rPr>
      <w:rFonts w:ascii="Times New Roman" w:hAnsi="Times New Roman" w:cs="Times New Roman"/>
      <w:szCs w:val="24"/>
    </w:rPr>
  </w:style>
  <w:style w:type="paragraph" w:styleId="NormalGirinti">
    <w:name w:val="Normal Indent"/>
    <w:basedOn w:val="Normal"/>
    <w:uiPriority w:val="99"/>
    <w:semiHidden/>
    <w:rsid w:val="00DC4033"/>
    <w:pPr>
      <w:ind w:left="720"/>
    </w:pPr>
  </w:style>
  <w:style w:type="paragraph" w:styleId="NotBal">
    <w:name w:val="Note Heading"/>
    <w:basedOn w:val="Normal"/>
    <w:next w:val="Normal"/>
    <w:link w:val="NotBalChar"/>
    <w:uiPriority w:val="99"/>
    <w:semiHidden/>
    <w:rsid w:val="00DC4033"/>
  </w:style>
  <w:style w:type="character" w:customStyle="1" w:styleId="NotBalChar">
    <w:name w:val="Not Başlığı Char"/>
    <w:basedOn w:val="VarsaylanParagrafYazTipi"/>
    <w:link w:val="NotBal"/>
    <w:uiPriority w:val="99"/>
    <w:semiHidden/>
    <w:rsid w:val="00DC4033"/>
    <w:rPr>
      <w:rFonts w:eastAsiaTheme="minorEastAsia"/>
      <w:sz w:val="24"/>
    </w:rPr>
  </w:style>
  <w:style w:type="character" w:styleId="YerTutucuMetni">
    <w:name w:val="Placeholder Text"/>
    <w:basedOn w:val="VarsaylanParagrafYazTipi"/>
    <w:uiPriority w:val="99"/>
    <w:semiHidden/>
    <w:rsid w:val="0045649E"/>
    <w:rPr>
      <w:color w:val="auto"/>
      <w:bdr w:val="none" w:sz="0" w:space="0" w:color="auto"/>
      <w:shd w:val="clear" w:color="auto" w:fill="DFDFDF" w:themeFill="background2" w:themeFillShade="E6"/>
    </w:rPr>
  </w:style>
  <w:style w:type="paragraph" w:styleId="DzMetin">
    <w:name w:val="Plain Text"/>
    <w:basedOn w:val="Normal"/>
    <w:link w:val="DzMetinChar"/>
    <w:uiPriority w:val="99"/>
    <w:semiHidden/>
    <w:rsid w:val="00DC4033"/>
    <w:rPr>
      <w:rFonts w:ascii="Consolas" w:hAnsi="Consolas" w:cs="Consolas"/>
      <w:sz w:val="21"/>
      <w:szCs w:val="21"/>
    </w:rPr>
  </w:style>
  <w:style w:type="character" w:customStyle="1" w:styleId="DzMetinChar">
    <w:name w:val="Düz Metin Char"/>
    <w:basedOn w:val="VarsaylanParagrafYazTipi"/>
    <w:link w:val="DzMetin"/>
    <w:uiPriority w:val="99"/>
    <w:semiHidden/>
    <w:rsid w:val="00DC4033"/>
    <w:rPr>
      <w:rFonts w:ascii="Consolas" w:eastAsiaTheme="minorEastAsia" w:hAnsi="Consolas" w:cs="Consolas"/>
      <w:sz w:val="21"/>
      <w:szCs w:val="21"/>
    </w:rPr>
  </w:style>
  <w:style w:type="paragraph" w:styleId="Selamlama">
    <w:name w:val="Salutation"/>
    <w:basedOn w:val="Normal"/>
    <w:next w:val="Normal"/>
    <w:link w:val="SelamlamaChar"/>
    <w:uiPriority w:val="99"/>
    <w:semiHidden/>
    <w:rsid w:val="00DC4033"/>
  </w:style>
  <w:style w:type="character" w:customStyle="1" w:styleId="SelamlamaChar">
    <w:name w:val="Selamlama Char"/>
    <w:basedOn w:val="VarsaylanParagrafYazTipi"/>
    <w:link w:val="Selamlama"/>
    <w:uiPriority w:val="99"/>
    <w:semiHidden/>
    <w:rsid w:val="00DC4033"/>
    <w:rPr>
      <w:rFonts w:eastAsiaTheme="minorEastAsia"/>
      <w:sz w:val="24"/>
    </w:rPr>
  </w:style>
  <w:style w:type="paragraph" w:styleId="mza">
    <w:name w:val="Signature"/>
    <w:basedOn w:val="Normal"/>
    <w:link w:val="mzaChar"/>
    <w:uiPriority w:val="99"/>
    <w:semiHidden/>
    <w:rsid w:val="00DC4033"/>
    <w:pPr>
      <w:ind w:left="4252"/>
    </w:pPr>
  </w:style>
  <w:style w:type="character" w:customStyle="1" w:styleId="mzaChar">
    <w:name w:val="İmza Char"/>
    <w:basedOn w:val="VarsaylanParagrafYazTipi"/>
    <w:link w:val="mza"/>
    <w:uiPriority w:val="99"/>
    <w:semiHidden/>
    <w:rsid w:val="00DC4033"/>
    <w:rPr>
      <w:rFonts w:eastAsiaTheme="minorEastAsia"/>
      <w:sz w:val="24"/>
    </w:rPr>
  </w:style>
  <w:style w:type="table" w:styleId="Tablo3Befektler1">
    <w:name w:val="Table 3D effects 1"/>
    <w:basedOn w:val="NormalTablo"/>
    <w:uiPriority w:val="99"/>
    <w:semiHidden/>
    <w:unhideWhenUsed/>
    <w:rsid w:val="00DC403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DC403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DC403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DC403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DC403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DC403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DC403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DC403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DC403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DC403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DC403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DC403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DC403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DC403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DC403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DC403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DC403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DC403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DC403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DC403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DC403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DC403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DC403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DC403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rsid w:val="00DC4033"/>
    <w:pPr>
      <w:ind w:left="240" w:hanging="240"/>
    </w:pPr>
  </w:style>
  <w:style w:type="paragraph" w:styleId="ekillerTablosu">
    <w:name w:val="table of figures"/>
    <w:basedOn w:val="Normal"/>
    <w:next w:val="Normal"/>
    <w:uiPriority w:val="99"/>
    <w:semiHidden/>
    <w:rsid w:val="00DC4033"/>
  </w:style>
  <w:style w:type="table" w:styleId="TabloProfesyonel">
    <w:name w:val="Table Professional"/>
    <w:basedOn w:val="NormalTablo"/>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DC403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DC403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DC403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DC403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DC40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DC403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DC403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DC403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6">
    <w:name w:val="toc 6"/>
    <w:basedOn w:val="Normal"/>
    <w:next w:val="Normal"/>
    <w:autoRedefine/>
    <w:uiPriority w:val="99"/>
    <w:semiHidden/>
    <w:rsid w:val="0045649E"/>
    <w:pPr>
      <w:tabs>
        <w:tab w:val="right" w:leader="dot" w:pos="7371"/>
      </w:tabs>
      <w:spacing w:after="60" w:line="240" w:lineRule="exact"/>
      <w:ind w:left="2041" w:right="567" w:hanging="340"/>
    </w:pPr>
    <w:rPr>
      <w:sz w:val="20"/>
    </w:rPr>
  </w:style>
  <w:style w:type="paragraph" w:styleId="T7">
    <w:name w:val="toc 7"/>
    <w:basedOn w:val="Normal"/>
    <w:next w:val="Normal"/>
    <w:autoRedefine/>
    <w:uiPriority w:val="99"/>
    <w:semiHidden/>
    <w:rsid w:val="0045649E"/>
    <w:pPr>
      <w:tabs>
        <w:tab w:val="right" w:leader="dot" w:pos="7371"/>
      </w:tabs>
      <w:spacing w:after="60" w:line="240" w:lineRule="exact"/>
      <w:ind w:left="2381" w:right="567" w:hanging="340"/>
    </w:pPr>
    <w:rPr>
      <w:sz w:val="20"/>
    </w:rPr>
  </w:style>
  <w:style w:type="paragraph" w:styleId="T8">
    <w:name w:val="toc 8"/>
    <w:basedOn w:val="Normal"/>
    <w:next w:val="Normal"/>
    <w:autoRedefine/>
    <w:uiPriority w:val="99"/>
    <w:semiHidden/>
    <w:rsid w:val="00DC4033"/>
    <w:pPr>
      <w:spacing w:after="100"/>
      <w:ind w:left="1680"/>
    </w:pPr>
  </w:style>
  <w:style w:type="paragraph" w:styleId="T9">
    <w:name w:val="toc 9"/>
    <w:basedOn w:val="Normal"/>
    <w:next w:val="Normal"/>
    <w:autoRedefine/>
    <w:uiPriority w:val="99"/>
    <w:semiHidden/>
    <w:rsid w:val="00DC4033"/>
    <w:pPr>
      <w:spacing w:after="100"/>
      <w:ind w:left="1920"/>
    </w:pPr>
  </w:style>
  <w:style w:type="paragraph" w:customStyle="1" w:styleId="OpiH1">
    <w:name w:val="Opi_H_1"/>
    <w:basedOn w:val="ECHRHeading2"/>
    <w:uiPriority w:val="42"/>
    <w:qFormat/>
    <w:rsid w:val="007C6A77"/>
    <w:pPr>
      <w:ind w:left="635" w:hanging="357"/>
      <w:outlineLvl w:val="2"/>
    </w:pPr>
  </w:style>
  <w:style w:type="paragraph" w:customStyle="1" w:styleId="OpiHa0">
    <w:name w:val="Opi_H_a"/>
    <w:basedOn w:val="ECHRHeading3"/>
    <w:uiPriority w:val="43"/>
    <w:qFormat/>
    <w:rsid w:val="007C6A77"/>
    <w:pPr>
      <w:ind w:left="833" w:hanging="357"/>
      <w:outlineLvl w:val="3"/>
    </w:pPr>
    <w:rPr>
      <w:b/>
      <w:i w:val="0"/>
      <w:sz w:val="20"/>
    </w:rPr>
  </w:style>
  <w:style w:type="paragraph" w:customStyle="1" w:styleId="ECHRFooter">
    <w:name w:val="ECHR_Footer"/>
    <w:aliases w:val="Footer_ECHR"/>
    <w:basedOn w:val="AltBilgi"/>
    <w:uiPriority w:val="57"/>
    <w:semiHidden/>
    <w:rsid w:val="0045649E"/>
    <w:pPr>
      <w:jc w:val="left"/>
    </w:pPr>
    <w:rPr>
      <w:sz w:val="8"/>
    </w:rPr>
  </w:style>
  <w:style w:type="paragraph" w:customStyle="1" w:styleId="ECHRFooterLine">
    <w:name w:val="ECHR_Footer_Line"/>
    <w:aliases w:val="Footer_Line"/>
    <w:basedOn w:val="Normal"/>
    <w:next w:val="ECHRFooter"/>
    <w:uiPriority w:val="57"/>
    <w:semiHidden/>
    <w:rsid w:val="0045649E"/>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7C6A77"/>
    <w:pPr>
      <w:spacing w:after="240"/>
      <w:jc w:val="center"/>
      <w:outlineLvl w:val="0"/>
    </w:pPr>
    <w:rPr>
      <w:rFonts w:asciiTheme="majorHAnsi" w:hAnsiTheme="majorHAnsi"/>
    </w:rPr>
  </w:style>
  <w:style w:type="paragraph" w:customStyle="1" w:styleId="OpiHi">
    <w:name w:val="Opi_H_i"/>
    <w:basedOn w:val="ECHRHeading4"/>
    <w:uiPriority w:val="44"/>
    <w:qFormat/>
    <w:rsid w:val="007C6A77"/>
    <w:pPr>
      <w:ind w:left="1037" w:hanging="357"/>
      <w:outlineLvl w:val="4"/>
    </w:pPr>
    <w:rPr>
      <w:b w:val="0"/>
      <w:i/>
    </w:rPr>
  </w:style>
  <w:style w:type="paragraph" w:customStyle="1" w:styleId="JuHeaderLandscape">
    <w:name w:val="Ju_Header_Landscape"/>
    <w:basedOn w:val="ECHRHeader"/>
    <w:uiPriority w:val="4"/>
    <w:qFormat/>
    <w:rsid w:val="007C6A77"/>
    <w:pPr>
      <w:tabs>
        <w:tab w:val="clear" w:pos="3686"/>
        <w:tab w:val="clear" w:pos="7371"/>
        <w:tab w:val="center" w:pos="6146"/>
        <w:tab w:val="right" w:pos="12293"/>
      </w:tabs>
    </w:pPr>
  </w:style>
  <w:style w:type="paragraph" w:customStyle="1" w:styleId="DummyStyle">
    <w:name w:val="Dummy_Style"/>
    <w:basedOn w:val="Normal"/>
    <w:semiHidden/>
    <w:qFormat/>
    <w:rsid w:val="007C6A77"/>
    <w:rPr>
      <w:color w:val="00B050"/>
    </w:rPr>
  </w:style>
  <w:style w:type="paragraph" w:styleId="Dzeltme">
    <w:name w:val="Revision"/>
    <w:hidden/>
    <w:uiPriority w:val="99"/>
    <w:semiHidden/>
    <w:rsid w:val="00F25813"/>
    <w:rPr>
      <w:rFonts w:eastAsiaTheme="minorEastAsia"/>
      <w:sz w:val="24"/>
    </w:rPr>
  </w:style>
  <w:style w:type="character" w:customStyle="1" w:styleId="JuNames0">
    <w:name w:val="Ju_Names"/>
    <w:rsid w:val="00F25813"/>
    <w:rPr>
      <w:smallCaps/>
    </w:rPr>
  </w:style>
  <w:style w:type="character" w:customStyle="1" w:styleId="ECHRParaChar">
    <w:name w:val="ECHR_Para Char"/>
    <w:aliases w:val="Ju_Para Char"/>
    <w:basedOn w:val="VarsaylanParagrafYazTipi"/>
    <w:link w:val="ECHRPara"/>
    <w:uiPriority w:val="12"/>
    <w:rsid w:val="00F25813"/>
    <w:rPr>
      <w:rFonts w:eastAsiaTheme="minorEastAsia"/>
      <w:sz w:val="24"/>
      <w:lang w:val="tr-TR"/>
    </w:rPr>
  </w:style>
  <w:style w:type="character" w:customStyle="1" w:styleId="JuQuotChar">
    <w:name w:val="Ju_Quot Char"/>
    <w:basedOn w:val="VarsaylanParagrafYazTipi"/>
    <w:link w:val="ECHRParaQuote"/>
    <w:uiPriority w:val="14"/>
    <w:rsid w:val="00A936F2"/>
    <w:rPr>
      <w:rFonts w:eastAsiaTheme="minorEastAsia"/>
      <w:sz w:val="20"/>
      <w:lang w:val="tr-TR"/>
    </w:rPr>
  </w:style>
  <w:style w:type="character" w:customStyle="1" w:styleId="JuParaCar">
    <w:name w:val="Ju_Para Car"/>
    <w:uiPriority w:val="12"/>
    <w:rsid w:val="00F25813"/>
    <w:rPr>
      <w:rFonts w:eastAsiaTheme="minorEastAsia"/>
      <w:sz w:val="24"/>
    </w:rPr>
  </w:style>
  <w:style w:type="character" w:customStyle="1" w:styleId="normal10">
    <w:name w:val="normal10"/>
    <w:basedOn w:val="VarsaylanParagrafYazTipi"/>
    <w:rsid w:val="00F2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346041">
      <w:bodyDiv w:val="1"/>
      <w:marLeft w:val="0"/>
      <w:marRight w:val="0"/>
      <w:marTop w:val="0"/>
      <w:marBottom w:val="0"/>
      <w:divBdr>
        <w:top w:val="none" w:sz="0" w:space="0" w:color="auto"/>
        <w:left w:val="none" w:sz="0" w:space="0" w:color="auto"/>
        <w:bottom w:val="none" w:sz="0" w:space="0" w:color="auto"/>
        <w:right w:val="none" w:sz="0" w:space="0" w:color="auto"/>
      </w:divBdr>
    </w:div>
    <w:div w:id="1599752744">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opil.ouplaw.com/view/10.1093/law:epil/9780199231690/law-9780199231690-e1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45F7-59A0-4D19-82B9-AC8ECEC9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603AFA-0D3B-43D4-8F20-96A50E574A77}">
  <ds:schemaRefs>
    <ds:schemaRef ds:uri="http://schemas.microsoft.com/sharepoint/v3/contenttype/forms"/>
  </ds:schemaRefs>
</ds:datastoreItem>
</file>

<file path=customXml/itemProps3.xml><?xml version="1.0" encoding="utf-8"?>
<ds:datastoreItem xmlns:ds="http://schemas.openxmlformats.org/officeDocument/2006/customXml" ds:itemID="{7A096C69-4415-4BA2-8E08-220E312AB4DA}">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513F693C-CBD4-4428-B72F-5B5C25EF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38359</Words>
  <Characters>218647</Characters>
  <Application>Microsoft Office Word</Application>
  <DocSecurity>0</DocSecurity>
  <Lines>1822</Lines>
  <Paragraphs>512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256494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2019-07-12T08:00:00Z</dcterms:created>
  <dcterms:modified xsi:type="dcterms:W3CDTF">2019-07-12T08:00:00Z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36925/07</vt:lpwstr>
  </property>
  <property fmtid="{D5CDD505-2E9C-101B-9397-08002B2CF9AE}" pid="4" name="CASEID">
    <vt:lpwstr>464431</vt:lpwstr>
  </property>
  <property fmtid="{D5CDD505-2E9C-101B-9397-08002B2CF9AE}" pid="5" name="ContentTypeId">
    <vt:lpwstr>0x010100558EB02BDB9E204AB350EDD385B68E10</vt:lpwstr>
  </property>
</Properties>
</file>